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66074318"/>
        <w:docPartObj>
          <w:docPartGallery w:val="Cover Pages"/>
          <w:docPartUnique/>
        </w:docPartObj>
      </w:sdtPr>
      <w:sdtEndPr>
        <w:rPr>
          <w:rFonts w:ascii="Arial" w:hAnsi="Arial" w:cs="Arial"/>
          <w:color w:val="FFFFFF" w:themeColor="background1"/>
        </w:rPr>
      </w:sdtEndPr>
      <w:sdtContent>
        <w:p w14:paraId="239FBEDD" w14:textId="77777777" w:rsidR="00A87E40" w:rsidRDefault="00A87E40" w:rsidP="00A87E40"/>
        <w:p w14:paraId="4269DD9B" w14:textId="1241C6AC" w:rsidR="00A87E40" w:rsidRDefault="00983D1F" w:rsidP="00A87E40">
          <w:pPr>
            <w:rPr>
              <w:rFonts w:ascii="Arial" w:hAnsi="Arial" w:cs="Arial"/>
              <w:color w:val="FFFFFF" w:themeColor="background1"/>
            </w:rPr>
          </w:pPr>
          <w:r>
            <w:rPr>
              <w:noProof/>
            </w:rPr>
            <mc:AlternateContent>
              <mc:Choice Requires="wps">
                <w:drawing>
                  <wp:anchor distT="0" distB="0" distL="114300" distR="114300" simplePos="0" relativeHeight="251661312" behindDoc="0" locked="0" layoutInCell="1" allowOverlap="1" wp14:anchorId="41A13212" wp14:editId="112D37EC">
                    <wp:simplePos x="0" y="0"/>
                    <wp:positionH relativeFrom="page">
                      <wp:posOffset>66040</wp:posOffset>
                    </wp:positionH>
                    <wp:positionV relativeFrom="margin">
                      <wp:posOffset>8225155</wp:posOffset>
                    </wp:positionV>
                    <wp:extent cx="7419975" cy="342900"/>
                    <wp:effectExtent l="0" t="0" r="0" b="0"/>
                    <wp:wrapSquare wrapText="bothSides"/>
                    <wp:docPr id="128" name="Text Box 128"/>
                    <wp:cNvGraphicFramePr/>
                    <a:graphic xmlns:a="http://schemas.openxmlformats.org/drawingml/2006/main">
                      <a:graphicData uri="http://schemas.microsoft.com/office/word/2010/wordprocessingShape">
                        <wps:wsp>
                          <wps:cNvSpPr txBox="1"/>
                          <wps:spPr>
                            <a:xfrm>
                              <a:off x="0" y="0"/>
                              <a:ext cx="74199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215CE0" w14:textId="3B861DB9" w:rsidR="00833675" w:rsidRPr="002C44AA" w:rsidRDefault="00833675" w:rsidP="00983D1F">
                                <w:pPr>
                                  <w:pStyle w:val="Sinespaciado"/>
                                  <w:jc w:val="center"/>
                                  <w:rPr>
                                    <w:rFonts w:ascii="Arial" w:hAnsi="Arial" w:cs="Arial"/>
                                    <w:sz w:val="18"/>
                                    <w:szCs w:val="18"/>
                                    <w:lang w:val="es-CR"/>
                                  </w:rPr>
                                </w:pPr>
                                <w:r w:rsidRPr="002C44AA">
                                  <w:rPr>
                                    <w:rFonts w:ascii="Arial" w:hAnsi="Arial" w:cs="Arial"/>
                                    <w:sz w:val="18"/>
                                    <w:szCs w:val="18"/>
                                    <w:lang w:val="es-CR"/>
                                  </w:rPr>
                                  <w:t>Elaborado por Karlissa Calderón con la colaboración de María Estelí Jarquín y Joselyne Sánchez</w:t>
                                </w:r>
                              </w:p>
                              <w:p w14:paraId="535EE7CB" w14:textId="063859DC" w:rsidR="00833675" w:rsidRPr="002C44AA" w:rsidRDefault="00833675" w:rsidP="00983D1F">
                                <w:pPr>
                                  <w:pStyle w:val="Sinespaciado"/>
                                  <w:jc w:val="center"/>
                                  <w:rPr>
                                    <w:rFonts w:ascii="Arial" w:hAnsi="Arial" w:cs="Arial"/>
                                    <w:caps/>
                                    <w:sz w:val="18"/>
                                    <w:szCs w:val="18"/>
                                    <w:lang w:val="es-CR"/>
                                  </w:rPr>
                                </w:pPr>
                                <w:r w:rsidRPr="002C44AA">
                                  <w:rPr>
                                    <w:rFonts w:ascii="Arial" w:hAnsi="Arial" w:cs="Arial"/>
                                    <w:sz w:val="18"/>
                                    <w:szCs w:val="18"/>
                                    <w:lang w:val="es-CR"/>
                                  </w:rPr>
                                  <w:t xml:space="preserve">Última versión: </w:t>
                                </w:r>
                                <w:r w:rsidR="00A74B82">
                                  <w:rPr>
                                    <w:rFonts w:ascii="Arial" w:hAnsi="Arial" w:cs="Arial"/>
                                    <w:sz w:val="18"/>
                                    <w:szCs w:val="18"/>
                                    <w:lang w:val="es-CR"/>
                                  </w:rPr>
                                  <w:t>31</w:t>
                                </w:r>
                                <w:r w:rsidRPr="002C44AA">
                                  <w:rPr>
                                    <w:rFonts w:ascii="Arial" w:hAnsi="Arial" w:cs="Arial"/>
                                    <w:sz w:val="18"/>
                                    <w:szCs w:val="18"/>
                                    <w:lang w:val="es-CR"/>
                                  </w:rPr>
                                  <w:t xml:space="preserve"> de </w:t>
                                </w:r>
                                <w:r w:rsidR="00A74B82">
                                  <w:rPr>
                                    <w:rFonts w:ascii="Arial" w:hAnsi="Arial" w:cs="Arial"/>
                                    <w:sz w:val="18"/>
                                    <w:szCs w:val="18"/>
                                    <w:lang w:val="es-CR"/>
                                  </w:rPr>
                                  <w:t>octubre</w:t>
                                </w:r>
                                <w:r w:rsidRPr="002C44AA">
                                  <w:rPr>
                                    <w:rFonts w:ascii="Arial" w:hAnsi="Arial" w:cs="Arial"/>
                                    <w:sz w:val="18"/>
                                    <w:szCs w:val="18"/>
                                    <w:lang w:val="es-CR"/>
                                  </w:rPr>
                                  <w:t xml:space="preserve"> de 202</w:t>
                                </w:r>
                                <w:r w:rsidR="00561758">
                                  <w:rPr>
                                    <w:rFonts w:ascii="Arial" w:hAnsi="Arial" w:cs="Arial"/>
                                    <w:sz w:val="18"/>
                                    <w:szCs w:val="18"/>
                                    <w:lang w:val="es-CR"/>
                                  </w:rPr>
                                  <w:t>1</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A13212" id="_x0000_t202" coordsize="21600,21600" o:spt="202" path="m,l,21600r21600,l21600,xe">
                    <v:stroke joinstyle="miter"/>
                    <v:path gradientshapeok="t" o:connecttype="rect"/>
                  </v:shapetype>
                  <v:shape id="Text Box 128" o:spid="_x0000_s1026" type="#_x0000_t202" style="position:absolute;margin-left:5.2pt;margin-top:647.65pt;width:584.25pt;height:2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" filled="f" stroked="f" strokeweight=".5pt">
                    <v:textbox inset="1in,0,86.4pt,0">
                      <w:txbxContent>
                        <w:p w14:paraId="07215CE0" w14:textId="3B861DB9" w:rsidR="00833675" w:rsidRPr="002C44AA" w:rsidRDefault="00833675" w:rsidP="00983D1F">
                          <w:pPr>
                            <w:pStyle w:val="Sinespaciado"/>
                            <w:jc w:val="center"/>
                            <w:rPr>
                              <w:rFonts w:ascii="Arial" w:hAnsi="Arial" w:cs="Arial"/>
                              <w:sz w:val="18"/>
                              <w:szCs w:val="18"/>
                              <w:lang w:val="es-CR"/>
                            </w:rPr>
                          </w:pPr>
                          <w:r w:rsidRPr="002C44AA">
                            <w:rPr>
                              <w:rFonts w:ascii="Arial" w:hAnsi="Arial" w:cs="Arial"/>
                              <w:sz w:val="18"/>
                              <w:szCs w:val="18"/>
                              <w:lang w:val="es-CR"/>
                            </w:rPr>
                            <w:t>Elaborado por Karlissa Calderón con la colaboración de María Estelí Jarquín y Joselyne Sánchez</w:t>
                          </w:r>
                        </w:p>
                        <w:p w14:paraId="535EE7CB" w14:textId="063859DC" w:rsidR="00833675" w:rsidRPr="002C44AA" w:rsidRDefault="00833675" w:rsidP="00983D1F">
                          <w:pPr>
                            <w:pStyle w:val="Sinespaciado"/>
                            <w:jc w:val="center"/>
                            <w:rPr>
                              <w:rFonts w:ascii="Arial" w:hAnsi="Arial" w:cs="Arial"/>
                              <w:caps/>
                              <w:sz w:val="18"/>
                              <w:szCs w:val="18"/>
                              <w:lang w:val="es-CR"/>
                            </w:rPr>
                          </w:pPr>
                          <w:r w:rsidRPr="002C44AA">
                            <w:rPr>
                              <w:rFonts w:ascii="Arial" w:hAnsi="Arial" w:cs="Arial"/>
                              <w:sz w:val="18"/>
                              <w:szCs w:val="18"/>
                              <w:lang w:val="es-CR"/>
                            </w:rPr>
                            <w:t xml:space="preserve">Última versión: </w:t>
                          </w:r>
                          <w:r w:rsidR="00A74B82">
                            <w:rPr>
                              <w:rFonts w:ascii="Arial" w:hAnsi="Arial" w:cs="Arial"/>
                              <w:sz w:val="18"/>
                              <w:szCs w:val="18"/>
                              <w:lang w:val="es-CR"/>
                            </w:rPr>
                            <w:t>31</w:t>
                          </w:r>
                          <w:r w:rsidRPr="002C44AA">
                            <w:rPr>
                              <w:rFonts w:ascii="Arial" w:hAnsi="Arial" w:cs="Arial"/>
                              <w:sz w:val="18"/>
                              <w:szCs w:val="18"/>
                              <w:lang w:val="es-CR"/>
                            </w:rPr>
                            <w:t xml:space="preserve"> de </w:t>
                          </w:r>
                          <w:r w:rsidR="00A74B82">
                            <w:rPr>
                              <w:rFonts w:ascii="Arial" w:hAnsi="Arial" w:cs="Arial"/>
                              <w:sz w:val="18"/>
                              <w:szCs w:val="18"/>
                              <w:lang w:val="es-CR"/>
                            </w:rPr>
                            <w:t>octubre</w:t>
                          </w:r>
                          <w:r w:rsidRPr="002C44AA">
                            <w:rPr>
                              <w:rFonts w:ascii="Arial" w:hAnsi="Arial" w:cs="Arial"/>
                              <w:sz w:val="18"/>
                              <w:szCs w:val="18"/>
                              <w:lang w:val="es-CR"/>
                            </w:rPr>
                            <w:t xml:space="preserve"> de 202</w:t>
                          </w:r>
                          <w:r w:rsidR="00561758">
                            <w:rPr>
                              <w:rFonts w:ascii="Arial" w:hAnsi="Arial" w:cs="Arial"/>
                              <w:sz w:val="18"/>
                              <w:szCs w:val="18"/>
                              <w:lang w:val="es-CR"/>
                            </w:rPr>
                            <w:t>1</w:t>
                          </w:r>
                        </w:p>
                      </w:txbxContent>
                    </v:textbox>
                    <w10:wrap type="square" anchorx="page" anchory="margin"/>
                  </v:shape>
                </w:pict>
              </mc:Fallback>
            </mc:AlternateContent>
          </w:r>
          <w:r w:rsidR="00A87E40">
            <w:rPr>
              <w:noProof/>
            </w:rPr>
            <mc:AlternateContent>
              <mc:Choice Requires="wpg">
                <w:drawing>
                  <wp:anchor distT="0" distB="0" distL="114300" distR="114300" simplePos="0" relativeHeight="251659264" behindDoc="1" locked="0" layoutInCell="1" allowOverlap="1" wp14:anchorId="434207B8" wp14:editId="78E005BE">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1651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rgbClr val="002060"/>
                              </a:solidFill>
                              <a:ln>
                                <a:solidFill>
                                  <a:srgbClr val="002060"/>
                                </a:solidFill>
                              </a:ln>
                            </wps:spPr>
                            <wps:style>
                              <a:lnRef idx="0">
                                <a:scrgbClr r="0" g="0" b="0"/>
                              </a:lnRef>
                              <a:fillRef idx="1003">
                                <a:schemeClr val="dk2"/>
                              </a:fillRef>
                              <a:effectRef idx="0">
                                <a:scrgbClr r="0" g="0" b="0"/>
                              </a:effectRef>
                              <a:fontRef idx="major"/>
                            </wps:style>
                            <wps:txbx>
                              <w:txbxContent>
                                <w:p w14:paraId="2A6298DA" w14:textId="4F3068EB" w:rsidR="00833675" w:rsidRDefault="00833675" w:rsidP="00A87E40">
                                  <w:pPr>
                                    <w:jc w:val="center"/>
                                    <w:rPr>
                                      <w:rFonts w:ascii="Arial" w:hAnsi="Arial" w:cs="Arial"/>
                                      <w:b/>
                                      <w:bCs/>
                                      <w:color w:val="FFFFFF" w:themeColor="background1"/>
                                      <w:sz w:val="32"/>
                                      <w:szCs w:val="32"/>
                                    </w:rPr>
                                  </w:pPr>
                                  <w:r>
                                    <w:rPr>
                                      <w:rFonts w:ascii="Arial" w:hAnsi="Arial" w:cs="Arial"/>
                                      <w:b/>
                                      <w:bCs/>
                                      <w:color w:val="FFFFFF" w:themeColor="background1"/>
                                      <w:sz w:val="32"/>
                                      <w:szCs w:val="32"/>
                                    </w:rPr>
                                    <w:t>Manual metodológico</w:t>
                                  </w:r>
                                </w:p>
                                <w:p w14:paraId="28D218DA" w14:textId="478A9428" w:rsidR="00833675" w:rsidRPr="009719A6" w:rsidRDefault="00833675" w:rsidP="00A87E40">
                                  <w:pPr>
                                    <w:jc w:val="center"/>
                                    <w:rPr>
                                      <w:rFonts w:ascii="Arial" w:hAnsi="Arial" w:cs="Arial"/>
                                      <w:b/>
                                      <w:bCs/>
                                      <w:color w:val="FFFFFF" w:themeColor="background1"/>
                                      <w:sz w:val="32"/>
                                      <w:szCs w:val="32"/>
                                    </w:rPr>
                                  </w:pPr>
                                  <w:r w:rsidRPr="009719A6">
                                    <w:rPr>
                                      <w:rFonts w:ascii="Arial" w:hAnsi="Arial" w:cs="Arial"/>
                                      <w:b/>
                                      <w:bCs/>
                                      <w:color w:val="FFFFFF" w:themeColor="background1"/>
                                      <w:sz w:val="32"/>
                                      <w:szCs w:val="32"/>
                                    </w:rPr>
                                    <w:t>Base de datos sobre las medidas del Estado costarricense como respuesta ante el COVID-19</w:t>
                                  </w: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434207B8" id="Group 125" o:spid="_x0000_s1027"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">
                    <o:lock v:ext="edit" aspectratio="t"/>
                    <v:shape id="Freeform 10" o:spid="_x0000_s1028"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" adj="-11796480,,5400" path="m,c,644,,644,,644v23,6,62,14,113,21c250,685,476,700,720,644v,-27,,-27,,-27c720,,720,,720,,,,,,,e" fillcolor="#002060" strokecolor="#002060">
                      <v:stroke joinstyle="miter"/>
                      <v:formulas/>
                      <v:path arrowok="t" o:connecttype="custom" o:connectlocs="0,0;0,4972126;872222,5134261;5557520,4972126;5557520,4763667;5557520,0;0,0" o:connectangles="0,0,0,0,0,0,0" textboxrect="0,0,720,700"/>
                      <v:textbox inset="1in,86.4pt,86.4pt,86.4pt">
                        <w:txbxContent>
                          <w:p w14:paraId="2A6298DA" w14:textId="4F3068EB" w:rsidR="00833675" w:rsidRDefault="00833675" w:rsidP="00A87E40">
                            <w:pPr>
                              <w:jc w:val="center"/>
                              <w:rPr>
                                <w:rFonts w:ascii="Arial" w:hAnsi="Arial" w:cs="Arial"/>
                                <w:b/>
                                <w:bCs/>
                                <w:color w:val="FFFFFF" w:themeColor="background1"/>
                                <w:sz w:val="32"/>
                                <w:szCs w:val="32"/>
                              </w:rPr>
                            </w:pPr>
                            <w:r>
                              <w:rPr>
                                <w:rFonts w:ascii="Arial" w:hAnsi="Arial" w:cs="Arial"/>
                                <w:b/>
                                <w:bCs/>
                                <w:color w:val="FFFFFF" w:themeColor="background1"/>
                                <w:sz w:val="32"/>
                                <w:szCs w:val="32"/>
                              </w:rPr>
                              <w:t>Manual metodológico</w:t>
                            </w:r>
                          </w:p>
                          <w:p w14:paraId="28D218DA" w14:textId="478A9428" w:rsidR="00833675" w:rsidRPr="009719A6" w:rsidRDefault="00833675" w:rsidP="00A87E40">
                            <w:pPr>
                              <w:jc w:val="center"/>
                              <w:rPr>
                                <w:rFonts w:ascii="Arial" w:hAnsi="Arial" w:cs="Arial"/>
                                <w:b/>
                                <w:bCs/>
                                <w:color w:val="FFFFFF" w:themeColor="background1"/>
                                <w:sz w:val="32"/>
                                <w:szCs w:val="32"/>
                              </w:rPr>
                            </w:pPr>
                            <w:r w:rsidRPr="009719A6">
                              <w:rPr>
                                <w:rFonts w:ascii="Arial" w:hAnsi="Arial" w:cs="Arial"/>
                                <w:b/>
                                <w:bCs/>
                                <w:color w:val="FFFFFF" w:themeColor="background1"/>
                                <w:sz w:val="32"/>
                                <w:szCs w:val="32"/>
                              </w:rPr>
                              <w:t>Base de datos sobre las medidas del Estado costarricense como respuesta ante el COVID-19</w:t>
                            </w:r>
                          </w:p>
                        </w:txbxContent>
                      </v:textbox>
                    </v:shape>
                    <v:shape id="Freeform 11" o:spid="_x0000_s1029"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A87E40">
            <w:rPr>
              <w:noProof/>
            </w:rPr>
            <mc:AlternateContent>
              <mc:Choice Requires="wps">
                <w:drawing>
                  <wp:anchor distT="0" distB="0" distL="114300" distR="114300" simplePos="0" relativeHeight="251660288" behindDoc="0" locked="0" layoutInCell="1" allowOverlap="1" wp14:anchorId="1756A9A7" wp14:editId="72B72B21">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9D52C0" w14:textId="77777777" w:rsidR="00833675" w:rsidRDefault="00833675" w:rsidP="00A87E40">
                                <w:pPr>
                                  <w:pStyle w:val="Sinespaciado"/>
                                  <w:jc w:val="right"/>
                                  <w:rPr>
                                    <w:color w:val="FFFFFF" w:themeColor="background1"/>
                                    <w:sz w:val="24"/>
                                    <w:szCs w:val="24"/>
                                  </w:rPr>
                                </w:pP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1756A9A7" id="Rectangle 130" o:spid="_x0000_s1030"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" fillcolor="#4472c4 [3204]" stroked="f" strokeweight="1pt">
                    <o:lock v:ext="edit" aspectratio="t"/>
                    <v:textbox inset="3.6pt,,3.6pt">
                      <w:txbxContent>
                        <w:p w14:paraId="3A9D52C0" w14:textId="77777777" w:rsidR="00833675" w:rsidRDefault="00833675" w:rsidP="00A87E40">
                          <w:pPr>
                            <w:pStyle w:val="Sinespaciado"/>
                            <w:jc w:val="right"/>
                            <w:rPr>
                              <w:color w:val="FFFFFF" w:themeColor="background1"/>
                              <w:sz w:val="24"/>
                              <w:szCs w:val="24"/>
                            </w:rPr>
                          </w:pPr>
                        </w:p>
                      </w:txbxContent>
                    </v:textbox>
                    <w10:wrap anchorx="margin" anchory="page"/>
                  </v:rect>
                </w:pict>
              </mc:Fallback>
            </mc:AlternateContent>
          </w:r>
          <w:r w:rsidR="00A87E40">
            <w:rPr>
              <w:rFonts w:ascii="Arial" w:hAnsi="Arial" w:cs="Arial"/>
              <w:color w:val="FFFFFF" w:themeColor="background1"/>
            </w:rPr>
            <w:br w:type="page"/>
          </w:r>
        </w:p>
      </w:sdtContent>
    </w:sdt>
    <w:sdt>
      <w:sdtPr>
        <w:rPr>
          <w:rFonts w:ascii="IBM Plex Sans" w:hAnsi="IBM Plex Sans"/>
          <w:sz w:val="22"/>
          <w:szCs w:val="22"/>
          <w:lang w:val="es-ES"/>
        </w:rPr>
        <w:id w:val="973645170"/>
        <w:docPartObj>
          <w:docPartGallery w:val="Table of Contents"/>
          <w:docPartUnique/>
        </w:docPartObj>
      </w:sdtPr>
      <w:sdtEndPr>
        <w:rPr>
          <w:rFonts w:eastAsiaTheme="minorEastAsia" w:cstheme="minorBidi"/>
          <w:b/>
          <w:bCs/>
          <w:color w:val="auto"/>
          <w:sz w:val="20"/>
          <w:szCs w:val="20"/>
          <w:lang w:eastAsia="en-US"/>
        </w:rPr>
      </w:sdtEndPr>
      <w:sdtContent>
        <w:p w14:paraId="73AC8F6B" w14:textId="5B146D62" w:rsidR="00191E14" w:rsidRPr="00A74B82" w:rsidRDefault="00191E14" w:rsidP="00A74B82">
          <w:pPr>
            <w:pStyle w:val="TtuloTDC"/>
            <w:jc w:val="center"/>
            <w:rPr>
              <w:rFonts w:ascii="IBM Plex Sans" w:hAnsi="IBM Plex Sans"/>
              <w:color w:val="auto"/>
              <w:lang w:val="es-ES"/>
            </w:rPr>
          </w:pPr>
          <w:r w:rsidRPr="00A74B82">
            <w:rPr>
              <w:rFonts w:ascii="IBM Plex Sans" w:hAnsi="IBM Plex Sans"/>
              <w:color w:val="auto"/>
              <w:lang w:val="es-ES"/>
            </w:rPr>
            <w:t>Contenido</w:t>
          </w:r>
        </w:p>
        <w:p w14:paraId="39B51F5F" w14:textId="77777777" w:rsidR="00A74B82" w:rsidRPr="00A74B82" w:rsidRDefault="00A74B82" w:rsidP="00A74B82">
          <w:pPr>
            <w:rPr>
              <w:rFonts w:ascii="IBM Plex Sans" w:hAnsi="IBM Plex Sans"/>
              <w:lang w:val="es-ES" w:eastAsia="zh-CN"/>
            </w:rPr>
          </w:pPr>
        </w:p>
        <w:p w14:paraId="59DD552D" w14:textId="3CA0BA67" w:rsidR="00191E14" w:rsidRPr="00A74B82" w:rsidRDefault="00191E14" w:rsidP="00A74B82">
          <w:pPr>
            <w:pStyle w:val="TDC1"/>
          </w:pPr>
          <w:r w:rsidRPr="00A74B82">
            <w:fldChar w:fldCharType="begin"/>
          </w:r>
          <w:r w:rsidRPr="00A74B82">
            <w:instrText xml:space="preserve"> TOC \o "1-3" \h \z \u </w:instrText>
          </w:r>
          <w:r w:rsidRPr="00A74B82">
            <w:fldChar w:fldCharType="separate"/>
          </w:r>
          <w:hyperlink w:anchor="_Toc86615271" w:history="1">
            <w:r w:rsidRPr="00A74B82">
              <w:rPr>
                <w:rStyle w:val="Hipervnculo"/>
              </w:rPr>
              <w:t>I. Presentación</w:t>
            </w:r>
            <w:r w:rsidRPr="00A74B82">
              <w:rPr>
                <w:webHidden/>
              </w:rPr>
              <w:tab/>
            </w:r>
            <w:r w:rsidRPr="00A74B82">
              <w:rPr>
                <w:webHidden/>
              </w:rPr>
              <w:fldChar w:fldCharType="begin"/>
            </w:r>
            <w:r w:rsidRPr="00A74B82">
              <w:rPr>
                <w:webHidden/>
              </w:rPr>
              <w:instrText xml:space="preserve"> PAGEREF _Toc86615271 \h </w:instrText>
            </w:r>
            <w:r w:rsidRPr="00A74B82">
              <w:rPr>
                <w:webHidden/>
              </w:rPr>
            </w:r>
            <w:r w:rsidRPr="00A74B82">
              <w:rPr>
                <w:webHidden/>
              </w:rPr>
              <w:fldChar w:fldCharType="separate"/>
            </w:r>
            <w:r w:rsidRPr="00A74B82">
              <w:rPr>
                <w:webHidden/>
              </w:rPr>
              <w:t>2</w:t>
            </w:r>
            <w:r w:rsidRPr="00A74B82">
              <w:rPr>
                <w:webHidden/>
              </w:rPr>
              <w:fldChar w:fldCharType="end"/>
            </w:r>
          </w:hyperlink>
        </w:p>
        <w:p w14:paraId="1B19851A" w14:textId="445C5FD9" w:rsidR="00191E14" w:rsidRPr="00A74B82" w:rsidRDefault="00191E14" w:rsidP="00A74B82">
          <w:pPr>
            <w:pStyle w:val="TDC1"/>
          </w:pPr>
          <w:hyperlink w:anchor="_Toc86615272" w:history="1">
            <w:r w:rsidRPr="00A74B82">
              <w:rPr>
                <w:rStyle w:val="Hipervnculo"/>
              </w:rPr>
              <w:t>II. Unidad de análisis</w:t>
            </w:r>
            <w:r w:rsidRPr="00A74B82">
              <w:rPr>
                <w:webHidden/>
              </w:rPr>
              <w:tab/>
            </w:r>
            <w:r w:rsidRPr="00A74B82">
              <w:rPr>
                <w:webHidden/>
              </w:rPr>
              <w:fldChar w:fldCharType="begin"/>
            </w:r>
            <w:r w:rsidRPr="00A74B82">
              <w:rPr>
                <w:webHidden/>
              </w:rPr>
              <w:instrText xml:space="preserve"> PAGEREF _Toc86615272 \h </w:instrText>
            </w:r>
            <w:r w:rsidRPr="00A74B82">
              <w:rPr>
                <w:webHidden/>
              </w:rPr>
            </w:r>
            <w:r w:rsidRPr="00A74B82">
              <w:rPr>
                <w:webHidden/>
              </w:rPr>
              <w:fldChar w:fldCharType="separate"/>
            </w:r>
            <w:r w:rsidRPr="00A74B82">
              <w:rPr>
                <w:webHidden/>
              </w:rPr>
              <w:t>2</w:t>
            </w:r>
            <w:r w:rsidRPr="00A74B82">
              <w:rPr>
                <w:webHidden/>
              </w:rPr>
              <w:fldChar w:fldCharType="end"/>
            </w:r>
          </w:hyperlink>
        </w:p>
        <w:p w14:paraId="3D14038C" w14:textId="03EDAC2E" w:rsidR="00191E14" w:rsidRPr="00A74B82" w:rsidRDefault="00191E14">
          <w:pPr>
            <w:pStyle w:val="TDC2"/>
            <w:tabs>
              <w:tab w:val="right" w:leader="dot" w:pos="8494"/>
            </w:tabs>
            <w:rPr>
              <w:rFonts w:ascii="IBM Plex Sans" w:hAnsi="IBM Plex Sans"/>
              <w:noProof/>
            </w:rPr>
          </w:pPr>
          <w:hyperlink w:anchor="_Toc86615273" w:history="1">
            <w:r w:rsidRPr="00A74B82">
              <w:rPr>
                <w:rStyle w:val="Hipervnculo"/>
                <w:rFonts w:ascii="IBM Plex Sans" w:hAnsi="IBM Plex Sans"/>
                <w:noProof/>
              </w:rPr>
              <w:t>¿Cómo identificar una medida cuando leemos un texto?</w:t>
            </w:r>
            <w:r w:rsidRPr="00A74B82">
              <w:rPr>
                <w:rFonts w:ascii="IBM Plex Sans" w:hAnsi="IBM Plex Sans"/>
                <w:noProof/>
                <w:webHidden/>
              </w:rPr>
              <w:tab/>
            </w:r>
            <w:r w:rsidRPr="00A74B82">
              <w:rPr>
                <w:rFonts w:ascii="IBM Plex Sans" w:hAnsi="IBM Plex Sans"/>
                <w:noProof/>
                <w:webHidden/>
              </w:rPr>
              <w:fldChar w:fldCharType="begin"/>
            </w:r>
            <w:r w:rsidRPr="00A74B82">
              <w:rPr>
                <w:rFonts w:ascii="IBM Plex Sans" w:hAnsi="IBM Plex Sans"/>
                <w:noProof/>
                <w:webHidden/>
              </w:rPr>
              <w:instrText xml:space="preserve"> PAGEREF _Toc86615273 \h </w:instrText>
            </w:r>
            <w:r w:rsidRPr="00A74B82">
              <w:rPr>
                <w:rFonts w:ascii="IBM Plex Sans" w:hAnsi="IBM Plex Sans"/>
                <w:noProof/>
                <w:webHidden/>
              </w:rPr>
            </w:r>
            <w:r w:rsidRPr="00A74B82">
              <w:rPr>
                <w:rFonts w:ascii="IBM Plex Sans" w:hAnsi="IBM Plex Sans"/>
                <w:noProof/>
                <w:webHidden/>
              </w:rPr>
              <w:fldChar w:fldCharType="separate"/>
            </w:r>
            <w:r w:rsidRPr="00A74B82">
              <w:rPr>
                <w:rFonts w:ascii="IBM Plex Sans" w:hAnsi="IBM Plex Sans"/>
                <w:noProof/>
                <w:webHidden/>
              </w:rPr>
              <w:t>2</w:t>
            </w:r>
            <w:r w:rsidRPr="00A74B82">
              <w:rPr>
                <w:rFonts w:ascii="IBM Plex Sans" w:hAnsi="IBM Plex Sans"/>
                <w:noProof/>
                <w:webHidden/>
              </w:rPr>
              <w:fldChar w:fldCharType="end"/>
            </w:r>
          </w:hyperlink>
        </w:p>
        <w:p w14:paraId="43D8E82D" w14:textId="3DC23590" w:rsidR="00191E14" w:rsidRPr="00A74B82" w:rsidRDefault="00191E14" w:rsidP="00A74B82">
          <w:pPr>
            <w:pStyle w:val="TDC1"/>
          </w:pPr>
          <w:hyperlink w:anchor="_Toc86615274" w:history="1">
            <w:r w:rsidRPr="00A74B82">
              <w:rPr>
                <w:rStyle w:val="Hipervnculo"/>
              </w:rPr>
              <w:t>III. Respaldo de medidas del Estado costarricense como respuesta al COVID-19</w:t>
            </w:r>
            <w:r w:rsidRPr="00A74B82">
              <w:rPr>
                <w:webHidden/>
              </w:rPr>
              <w:tab/>
            </w:r>
            <w:r w:rsidRPr="00A74B82">
              <w:rPr>
                <w:webHidden/>
              </w:rPr>
              <w:fldChar w:fldCharType="begin"/>
            </w:r>
            <w:r w:rsidRPr="00A74B82">
              <w:rPr>
                <w:webHidden/>
              </w:rPr>
              <w:instrText xml:space="preserve"> PAGEREF _Toc86615274 \h </w:instrText>
            </w:r>
            <w:r w:rsidRPr="00A74B82">
              <w:rPr>
                <w:webHidden/>
              </w:rPr>
            </w:r>
            <w:r w:rsidRPr="00A74B82">
              <w:rPr>
                <w:webHidden/>
              </w:rPr>
              <w:fldChar w:fldCharType="separate"/>
            </w:r>
            <w:r w:rsidRPr="00A74B82">
              <w:rPr>
                <w:webHidden/>
              </w:rPr>
              <w:t>4</w:t>
            </w:r>
            <w:r w:rsidRPr="00A74B82">
              <w:rPr>
                <w:webHidden/>
              </w:rPr>
              <w:fldChar w:fldCharType="end"/>
            </w:r>
          </w:hyperlink>
        </w:p>
        <w:p w14:paraId="734FE9C6" w14:textId="499322EF" w:rsidR="00191E14" w:rsidRPr="00A74B82" w:rsidRDefault="00191E14" w:rsidP="00A74B82">
          <w:pPr>
            <w:pStyle w:val="TDC1"/>
          </w:pPr>
          <w:hyperlink w:anchor="_Toc86615275" w:history="1">
            <w:r w:rsidRPr="00A74B82">
              <w:rPr>
                <w:rStyle w:val="Hipervnculo"/>
              </w:rPr>
              <w:t>IV. Variables</w:t>
            </w:r>
            <w:r w:rsidRPr="00A74B82">
              <w:rPr>
                <w:webHidden/>
              </w:rPr>
              <w:tab/>
            </w:r>
            <w:r w:rsidRPr="00A74B82">
              <w:rPr>
                <w:webHidden/>
              </w:rPr>
              <w:fldChar w:fldCharType="begin"/>
            </w:r>
            <w:r w:rsidRPr="00A74B82">
              <w:rPr>
                <w:webHidden/>
              </w:rPr>
              <w:instrText xml:space="preserve"> PAGEREF _Toc86615275 \h </w:instrText>
            </w:r>
            <w:r w:rsidRPr="00A74B82">
              <w:rPr>
                <w:webHidden/>
              </w:rPr>
            </w:r>
            <w:r w:rsidRPr="00A74B82">
              <w:rPr>
                <w:webHidden/>
              </w:rPr>
              <w:fldChar w:fldCharType="separate"/>
            </w:r>
            <w:r w:rsidRPr="00A74B82">
              <w:rPr>
                <w:webHidden/>
              </w:rPr>
              <w:t>5</w:t>
            </w:r>
            <w:r w:rsidRPr="00A74B82">
              <w:rPr>
                <w:webHidden/>
              </w:rPr>
              <w:fldChar w:fldCharType="end"/>
            </w:r>
          </w:hyperlink>
        </w:p>
        <w:p w14:paraId="5BC8528E" w14:textId="4BDA9FEF" w:rsidR="00191E14" w:rsidRPr="00A74B82" w:rsidRDefault="00191E14">
          <w:pPr>
            <w:pStyle w:val="TDC2"/>
            <w:tabs>
              <w:tab w:val="right" w:leader="dot" w:pos="8494"/>
            </w:tabs>
            <w:rPr>
              <w:rFonts w:ascii="IBM Plex Sans" w:hAnsi="IBM Plex Sans"/>
              <w:noProof/>
            </w:rPr>
          </w:pPr>
          <w:hyperlink w:anchor="_Toc86615276" w:history="1">
            <w:r w:rsidRPr="00A74B82">
              <w:rPr>
                <w:rStyle w:val="Hipervnculo"/>
                <w:rFonts w:ascii="IBM Plex Sans" w:hAnsi="IBM Plex Sans"/>
                <w:noProof/>
              </w:rPr>
              <w:t>1. Consecutivo medida (ID_medida)</w:t>
            </w:r>
            <w:r w:rsidRPr="00A74B82">
              <w:rPr>
                <w:rFonts w:ascii="IBM Plex Sans" w:hAnsi="IBM Plex Sans"/>
                <w:noProof/>
                <w:webHidden/>
              </w:rPr>
              <w:tab/>
            </w:r>
            <w:r w:rsidRPr="00A74B82">
              <w:rPr>
                <w:rFonts w:ascii="IBM Plex Sans" w:hAnsi="IBM Plex Sans"/>
                <w:noProof/>
                <w:webHidden/>
              </w:rPr>
              <w:fldChar w:fldCharType="begin"/>
            </w:r>
            <w:r w:rsidRPr="00A74B82">
              <w:rPr>
                <w:rFonts w:ascii="IBM Plex Sans" w:hAnsi="IBM Plex Sans"/>
                <w:noProof/>
                <w:webHidden/>
              </w:rPr>
              <w:instrText xml:space="preserve"> PAGEREF _Toc86615276 \h </w:instrText>
            </w:r>
            <w:r w:rsidRPr="00A74B82">
              <w:rPr>
                <w:rFonts w:ascii="IBM Plex Sans" w:hAnsi="IBM Plex Sans"/>
                <w:noProof/>
                <w:webHidden/>
              </w:rPr>
            </w:r>
            <w:r w:rsidRPr="00A74B82">
              <w:rPr>
                <w:rFonts w:ascii="IBM Plex Sans" w:hAnsi="IBM Plex Sans"/>
                <w:noProof/>
                <w:webHidden/>
              </w:rPr>
              <w:fldChar w:fldCharType="separate"/>
            </w:r>
            <w:r w:rsidRPr="00A74B82">
              <w:rPr>
                <w:rFonts w:ascii="IBM Plex Sans" w:hAnsi="IBM Plex Sans"/>
                <w:noProof/>
                <w:webHidden/>
              </w:rPr>
              <w:t>5</w:t>
            </w:r>
            <w:r w:rsidRPr="00A74B82">
              <w:rPr>
                <w:rFonts w:ascii="IBM Plex Sans" w:hAnsi="IBM Plex Sans"/>
                <w:noProof/>
                <w:webHidden/>
              </w:rPr>
              <w:fldChar w:fldCharType="end"/>
            </w:r>
          </w:hyperlink>
        </w:p>
        <w:p w14:paraId="2F13F4B8" w14:textId="184B9E34" w:rsidR="00191E14" w:rsidRPr="00A74B82" w:rsidRDefault="00191E14">
          <w:pPr>
            <w:pStyle w:val="TDC2"/>
            <w:tabs>
              <w:tab w:val="right" w:leader="dot" w:pos="8494"/>
            </w:tabs>
            <w:rPr>
              <w:rFonts w:ascii="IBM Plex Sans" w:hAnsi="IBM Plex Sans"/>
              <w:noProof/>
            </w:rPr>
          </w:pPr>
          <w:hyperlink w:anchor="_Toc86615277" w:history="1">
            <w:r w:rsidRPr="00A74B82">
              <w:rPr>
                <w:rStyle w:val="Hipervnculo"/>
                <w:rFonts w:ascii="IBM Plex Sans" w:hAnsi="IBM Plex Sans"/>
                <w:noProof/>
              </w:rPr>
              <w:t>2. Identificador de la norma (ID_norma)</w:t>
            </w:r>
            <w:r w:rsidRPr="00A74B82">
              <w:rPr>
                <w:rFonts w:ascii="IBM Plex Sans" w:hAnsi="IBM Plex Sans"/>
                <w:noProof/>
                <w:webHidden/>
              </w:rPr>
              <w:tab/>
            </w:r>
            <w:r w:rsidRPr="00A74B82">
              <w:rPr>
                <w:rFonts w:ascii="IBM Plex Sans" w:hAnsi="IBM Plex Sans"/>
                <w:noProof/>
                <w:webHidden/>
              </w:rPr>
              <w:fldChar w:fldCharType="begin"/>
            </w:r>
            <w:r w:rsidRPr="00A74B82">
              <w:rPr>
                <w:rFonts w:ascii="IBM Plex Sans" w:hAnsi="IBM Plex Sans"/>
                <w:noProof/>
                <w:webHidden/>
              </w:rPr>
              <w:instrText xml:space="preserve"> PAGEREF _Toc86615277 \h </w:instrText>
            </w:r>
            <w:r w:rsidRPr="00A74B82">
              <w:rPr>
                <w:rFonts w:ascii="IBM Plex Sans" w:hAnsi="IBM Plex Sans"/>
                <w:noProof/>
                <w:webHidden/>
              </w:rPr>
            </w:r>
            <w:r w:rsidRPr="00A74B82">
              <w:rPr>
                <w:rFonts w:ascii="IBM Plex Sans" w:hAnsi="IBM Plex Sans"/>
                <w:noProof/>
                <w:webHidden/>
              </w:rPr>
              <w:fldChar w:fldCharType="separate"/>
            </w:r>
            <w:r w:rsidRPr="00A74B82">
              <w:rPr>
                <w:rFonts w:ascii="IBM Plex Sans" w:hAnsi="IBM Plex Sans"/>
                <w:noProof/>
                <w:webHidden/>
              </w:rPr>
              <w:t>5</w:t>
            </w:r>
            <w:r w:rsidRPr="00A74B82">
              <w:rPr>
                <w:rFonts w:ascii="IBM Plex Sans" w:hAnsi="IBM Plex Sans"/>
                <w:noProof/>
                <w:webHidden/>
              </w:rPr>
              <w:fldChar w:fldCharType="end"/>
            </w:r>
          </w:hyperlink>
        </w:p>
        <w:p w14:paraId="2B9FF63C" w14:textId="4BD32781" w:rsidR="00191E14" w:rsidRPr="00A74B82" w:rsidRDefault="00191E14">
          <w:pPr>
            <w:pStyle w:val="TDC2"/>
            <w:tabs>
              <w:tab w:val="right" w:leader="dot" w:pos="8494"/>
            </w:tabs>
            <w:rPr>
              <w:rFonts w:ascii="IBM Plex Sans" w:hAnsi="IBM Plex Sans"/>
              <w:noProof/>
            </w:rPr>
          </w:pPr>
          <w:hyperlink w:anchor="_Toc86615278" w:history="1">
            <w:r w:rsidRPr="00A74B82">
              <w:rPr>
                <w:rStyle w:val="Hipervnculo"/>
                <w:rFonts w:ascii="IBM Plex Sans" w:hAnsi="IBM Plex Sans"/>
                <w:noProof/>
              </w:rPr>
              <w:t>3. Tipo de documento (norma)</w:t>
            </w:r>
            <w:r w:rsidRPr="00A74B82">
              <w:rPr>
                <w:rFonts w:ascii="IBM Plex Sans" w:hAnsi="IBM Plex Sans"/>
                <w:noProof/>
                <w:webHidden/>
              </w:rPr>
              <w:tab/>
            </w:r>
            <w:r w:rsidRPr="00A74B82">
              <w:rPr>
                <w:rFonts w:ascii="IBM Plex Sans" w:hAnsi="IBM Plex Sans"/>
                <w:noProof/>
                <w:webHidden/>
              </w:rPr>
              <w:fldChar w:fldCharType="begin"/>
            </w:r>
            <w:r w:rsidRPr="00A74B82">
              <w:rPr>
                <w:rFonts w:ascii="IBM Plex Sans" w:hAnsi="IBM Plex Sans"/>
                <w:noProof/>
                <w:webHidden/>
              </w:rPr>
              <w:instrText xml:space="preserve"> PAGEREF _Toc86615278 \h </w:instrText>
            </w:r>
            <w:r w:rsidRPr="00A74B82">
              <w:rPr>
                <w:rFonts w:ascii="IBM Plex Sans" w:hAnsi="IBM Plex Sans"/>
                <w:noProof/>
                <w:webHidden/>
              </w:rPr>
            </w:r>
            <w:r w:rsidRPr="00A74B82">
              <w:rPr>
                <w:rFonts w:ascii="IBM Plex Sans" w:hAnsi="IBM Plex Sans"/>
                <w:noProof/>
                <w:webHidden/>
              </w:rPr>
              <w:fldChar w:fldCharType="separate"/>
            </w:r>
            <w:r w:rsidRPr="00A74B82">
              <w:rPr>
                <w:rFonts w:ascii="IBM Plex Sans" w:hAnsi="IBM Plex Sans"/>
                <w:noProof/>
                <w:webHidden/>
              </w:rPr>
              <w:t>5</w:t>
            </w:r>
            <w:r w:rsidRPr="00A74B82">
              <w:rPr>
                <w:rFonts w:ascii="IBM Plex Sans" w:hAnsi="IBM Plex Sans"/>
                <w:noProof/>
                <w:webHidden/>
              </w:rPr>
              <w:fldChar w:fldCharType="end"/>
            </w:r>
          </w:hyperlink>
        </w:p>
        <w:p w14:paraId="32B628E6" w14:textId="6FE4B0C8" w:rsidR="00191E14" w:rsidRPr="00A74B82" w:rsidRDefault="00191E14">
          <w:pPr>
            <w:pStyle w:val="TDC2"/>
            <w:tabs>
              <w:tab w:val="right" w:leader="dot" w:pos="8494"/>
            </w:tabs>
            <w:rPr>
              <w:rFonts w:ascii="IBM Plex Sans" w:hAnsi="IBM Plex Sans"/>
              <w:noProof/>
            </w:rPr>
          </w:pPr>
          <w:hyperlink w:anchor="_Toc86615279" w:history="1">
            <w:r w:rsidRPr="00A74B82">
              <w:rPr>
                <w:rStyle w:val="Hipervnculo"/>
                <w:rFonts w:ascii="IBM Plex Sans" w:hAnsi="IBM Plex Sans"/>
                <w:noProof/>
              </w:rPr>
              <w:t>4. Título de la norma (titulo_norma)</w:t>
            </w:r>
            <w:r w:rsidRPr="00A74B82">
              <w:rPr>
                <w:rFonts w:ascii="IBM Plex Sans" w:hAnsi="IBM Plex Sans"/>
                <w:noProof/>
                <w:webHidden/>
              </w:rPr>
              <w:tab/>
            </w:r>
            <w:r w:rsidRPr="00A74B82">
              <w:rPr>
                <w:rFonts w:ascii="IBM Plex Sans" w:hAnsi="IBM Plex Sans"/>
                <w:noProof/>
                <w:webHidden/>
              </w:rPr>
              <w:fldChar w:fldCharType="begin"/>
            </w:r>
            <w:r w:rsidRPr="00A74B82">
              <w:rPr>
                <w:rFonts w:ascii="IBM Plex Sans" w:hAnsi="IBM Plex Sans"/>
                <w:noProof/>
                <w:webHidden/>
              </w:rPr>
              <w:instrText xml:space="preserve"> PAGEREF _Toc86615279 \h </w:instrText>
            </w:r>
            <w:r w:rsidRPr="00A74B82">
              <w:rPr>
                <w:rFonts w:ascii="IBM Plex Sans" w:hAnsi="IBM Plex Sans"/>
                <w:noProof/>
                <w:webHidden/>
              </w:rPr>
            </w:r>
            <w:r w:rsidRPr="00A74B82">
              <w:rPr>
                <w:rFonts w:ascii="IBM Plex Sans" w:hAnsi="IBM Plex Sans"/>
                <w:noProof/>
                <w:webHidden/>
              </w:rPr>
              <w:fldChar w:fldCharType="separate"/>
            </w:r>
            <w:r w:rsidRPr="00A74B82">
              <w:rPr>
                <w:rFonts w:ascii="IBM Plex Sans" w:hAnsi="IBM Plex Sans"/>
                <w:noProof/>
                <w:webHidden/>
              </w:rPr>
              <w:t>6</w:t>
            </w:r>
            <w:r w:rsidRPr="00A74B82">
              <w:rPr>
                <w:rFonts w:ascii="IBM Plex Sans" w:hAnsi="IBM Plex Sans"/>
                <w:noProof/>
                <w:webHidden/>
              </w:rPr>
              <w:fldChar w:fldCharType="end"/>
            </w:r>
          </w:hyperlink>
        </w:p>
        <w:p w14:paraId="114BD5E0" w14:textId="492158E1" w:rsidR="00191E14" w:rsidRPr="00A74B82" w:rsidRDefault="00191E14">
          <w:pPr>
            <w:pStyle w:val="TDC2"/>
            <w:tabs>
              <w:tab w:val="right" w:leader="dot" w:pos="8494"/>
            </w:tabs>
            <w:rPr>
              <w:rFonts w:ascii="IBM Plex Sans" w:hAnsi="IBM Plex Sans"/>
              <w:noProof/>
            </w:rPr>
          </w:pPr>
          <w:hyperlink w:anchor="_Toc86615280" w:history="1">
            <w:r w:rsidRPr="00A74B82">
              <w:rPr>
                <w:rStyle w:val="Hipervnculo"/>
                <w:rFonts w:ascii="IBM Plex Sans" w:hAnsi="IBM Plex Sans"/>
                <w:noProof/>
              </w:rPr>
              <w:t>5. Texto de la medida (texto_medida)</w:t>
            </w:r>
            <w:r w:rsidRPr="00A74B82">
              <w:rPr>
                <w:rFonts w:ascii="IBM Plex Sans" w:hAnsi="IBM Plex Sans"/>
                <w:noProof/>
                <w:webHidden/>
              </w:rPr>
              <w:tab/>
            </w:r>
            <w:r w:rsidRPr="00A74B82">
              <w:rPr>
                <w:rFonts w:ascii="IBM Plex Sans" w:hAnsi="IBM Plex Sans"/>
                <w:noProof/>
                <w:webHidden/>
              </w:rPr>
              <w:fldChar w:fldCharType="begin"/>
            </w:r>
            <w:r w:rsidRPr="00A74B82">
              <w:rPr>
                <w:rFonts w:ascii="IBM Plex Sans" w:hAnsi="IBM Plex Sans"/>
                <w:noProof/>
                <w:webHidden/>
              </w:rPr>
              <w:instrText xml:space="preserve"> PAGEREF _Toc86615280 \h </w:instrText>
            </w:r>
            <w:r w:rsidRPr="00A74B82">
              <w:rPr>
                <w:rFonts w:ascii="IBM Plex Sans" w:hAnsi="IBM Plex Sans"/>
                <w:noProof/>
                <w:webHidden/>
              </w:rPr>
            </w:r>
            <w:r w:rsidRPr="00A74B82">
              <w:rPr>
                <w:rFonts w:ascii="IBM Plex Sans" w:hAnsi="IBM Plex Sans"/>
                <w:noProof/>
                <w:webHidden/>
              </w:rPr>
              <w:fldChar w:fldCharType="separate"/>
            </w:r>
            <w:r w:rsidRPr="00A74B82">
              <w:rPr>
                <w:rFonts w:ascii="IBM Plex Sans" w:hAnsi="IBM Plex Sans"/>
                <w:noProof/>
                <w:webHidden/>
              </w:rPr>
              <w:t>6</w:t>
            </w:r>
            <w:r w:rsidRPr="00A74B82">
              <w:rPr>
                <w:rFonts w:ascii="IBM Plex Sans" w:hAnsi="IBM Plex Sans"/>
                <w:noProof/>
                <w:webHidden/>
              </w:rPr>
              <w:fldChar w:fldCharType="end"/>
            </w:r>
          </w:hyperlink>
        </w:p>
        <w:p w14:paraId="2558AF72" w14:textId="713E2D83" w:rsidR="00191E14" w:rsidRPr="00A74B82" w:rsidRDefault="00191E14">
          <w:pPr>
            <w:pStyle w:val="TDC2"/>
            <w:tabs>
              <w:tab w:val="right" w:leader="dot" w:pos="8494"/>
            </w:tabs>
            <w:rPr>
              <w:rFonts w:ascii="IBM Plex Sans" w:hAnsi="IBM Plex Sans"/>
              <w:noProof/>
            </w:rPr>
          </w:pPr>
          <w:hyperlink w:anchor="_Toc86615281" w:history="1">
            <w:r w:rsidRPr="00A74B82">
              <w:rPr>
                <w:rStyle w:val="Hipervnculo"/>
                <w:rFonts w:ascii="IBM Plex Sans" w:hAnsi="IBM Plex Sans"/>
                <w:noProof/>
              </w:rPr>
              <w:t>6. Tipo de medida (tipo_medida) y 7. subtipo de medida (subtipo_medida)</w:t>
            </w:r>
            <w:r w:rsidRPr="00A74B82">
              <w:rPr>
                <w:rFonts w:ascii="IBM Plex Sans" w:hAnsi="IBM Plex Sans"/>
                <w:noProof/>
                <w:webHidden/>
              </w:rPr>
              <w:tab/>
            </w:r>
            <w:r w:rsidRPr="00A74B82">
              <w:rPr>
                <w:rFonts w:ascii="IBM Plex Sans" w:hAnsi="IBM Plex Sans"/>
                <w:noProof/>
                <w:webHidden/>
              </w:rPr>
              <w:fldChar w:fldCharType="begin"/>
            </w:r>
            <w:r w:rsidRPr="00A74B82">
              <w:rPr>
                <w:rFonts w:ascii="IBM Plex Sans" w:hAnsi="IBM Plex Sans"/>
                <w:noProof/>
                <w:webHidden/>
              </w:rPr>
              <w:instrText xml:space="preserve"> PAGEREF _Toc86615281 \h </w:instrText>
            </w:r>
            <w:r w:rsidRPr="00A74B82">
              <w:rPr>
                <w:rFonts w:ascii="IBM Plex Sans" w:hAnsi="IBM Plex Sans"/>
                <w:noProof/>
                <w:webHidden/>
              </w:rPr>
            </w:r>
            <w:r w:rsidRPr="00A74B82">
              <w:rPr>
                <w:rFonts w:ascii="IBM Plex Sans" w:hAnsi="IBM Plex Sans"/>
                <w:noProof/>
                <w:webHidden/>
              </w:rPr>
              <w:fldChar w:fldCharType="separate"/>
            </w:r>
            <w:r w:rsidRPr="00A74B82">
              <w:rPr>
                <w:rFonts w:ascii="IBM Plex Sans" w:hAnsi="IBM Plex Sans"/>
                <w:noProof/>
                <w:webHidden/>
              </w:rPr>
              <w:t>6</w:t>
            </w:r>
            <w:r w:rsidRPr="00A74B82">
              <w:rPr>
                <w:rFonts w:ascii="IBM Plex Sans" w:hAnsi="IBM Plex Sans"/>
                <w:noProof/>
                <w:webHidden/>
              </w:rPr>
              <w:fldChar w:fldCharType="end"/>
            </w:r>
          </w:hyperlink>
        </w:p>
        <w:p w14:paraId="564F5D50" w14:textId="2518B40B" w:rsidR="00191E14" w:rsidRPr="00A74B82" w:rsidRDefault="00191E14">
          <w:pPr>
            <w:pStyle w:val="TDC2"/>
            <w:tabs>
              <w:tab w:val="right" w:leader="dot" w:pos="8494"/>
            </w:tabs>
            <w:rPr>
              <w:rFonts w:ascii="IBM Plex Sans" w:hAnsi="IBM Plex Sans"/>
              <w:noProof/>
            </w:rPr>
          </w:pPr>
          <w:hyperlink w:anchor="_Toc86615282" w:history="1">
            <w:r w:rsidRPr="00A74B82">
              <w:rPr>
                <w:rStyle w:val="Hipervnculo"/>
                <w:rFonts w:ascii="IBM Plex Sans" w:hAnsi="IBM Plex Sans"/>
                <w:noProof/>
              </w:rPr>
              <w:t>8. Institución pública (institución)</w:t>
            </w:r>
            <w:r w:rsidRPr="00A74B82">
              <w:rPr>
                <w:rFonts w:ascii="IBM Plex Sans" w:hAnsi="IBM Plex Sans"/>
                <w:noProof/>
                <w:webHidden/>
              </w:rPr>
              <w:tab/>
            </w:r>
            <w:r w:rsidRPr="00A74B82">
              <w:rPr>
                <w:rFonts w:ascii="IBM Plex Sans" w:hAnsi="IBM Plex Sans"/>
                <w:noProof/>
                <w:webHidden/>
              </w:rPr>
              <w:fldChar w:fldCharType="begin"/>
            </w:r>
            <w:r w:rsidRPr="00A74B82">
              <w:rPr>
                <w:rFonts w:ascii="IBM Plex Sans" w:hAnsi="IBM Plex Sans"/>
                <w:noProof/>
                <w:webHidden/>
              </w:rPr>
              <w:instrText xml:space="preserve"> PAGEREF _Toc86615282 \h </w:instrText>
            </w:r>
            <w:r w:rsidRPr="00A74B82">
              <w:rPr>
                <w:rFonts w:ascii="IBM Plex Sans" w:hAnsi="IBM Plex Sans"/>
                <w:noProof/>
                <w:webHidden/>
              </w:rPr>
            </w:r>
            <w:r w:rsidRPr="00A74B82">
              <w:rPr>
                <w:rFonts w:ascii="IBM Plex Sans" w:hAnsi="IBM Plex Sans"/>
                <w:noProof/>
                <w:webHidden/>
              </w:rPr>
              <w:fldChar w:fldCharType="separate"/>
            </w:r>
            <w:r w:rsidRPr="00A74B82">
              <w:rPr>
                <w:rFonts w:ascii="IBM Plex Sans" w:hAnsi="IBM Plex Sans"/>
                <w:noProof/>
                <w:webHidden/>
              </w:rPr>
              <w:t>12</w:t>
            </w:r>
            <w:r w:rsidRPr="00A74B82">
              <w:rPr>
                <w:rFonts w:ascii="IBM Plex Sans" w:hAnsi="IBM Plex Sans"/>
                <w:noProof/>
                <w:webHidden/>
              </w:rPr>
              <w:fldChar w:fldCharType="end"/>
            </w:r>
          </w:hyperlink>
        </w:p>
        <w:p w14:paraId="3DBBA90B" w14:textId="5D561829" w:rsidR="00191E14" w:rsidRPr="00A74B82" w:rsidRDefault="00191E14">
          <w:pPr>
            <w:pStyle w:val="TDC3"/>
            <w:tabs>
              <w:tab w:val="right" w:leader="dot" w:pos="8494"/>
            </w:tabs>
            <w:rPr>
              <w:rFonts w:ascii="IBM Plex Sans" w:hAnsi="IBM Plex Sans"/>
              <w:noProof/>
            </w:rPr>
          </w:pPr>
          <w:hyperlink w:anchor="_Toc86615283" w:history="1">
            <w:r w:rsidRPr="00A74B82">
              <w:rPr>
                <w:rStyle w:val="Hipervnculo"/>
                <w:rFonts w:ascii="IBM Plex Sans" w:hAnsi="IBM Plex Sans"/>
                <w:noProof/>
              </w:rPr>
              <w:t>Primera institución pública (institucion_1)</w:t>
            </w:r>
            <w:r w:rsidRPr="00A74B82">
              <w:rPr>
                <w:rFonts w:ascii="IBM Plex Sans" w:hAnsi="IBM Plex Sans"/>
                <w:noProof/>
                <w:webHidden/>
              </w:rPr>
              <w:tab/>
            </w:r>
            <w:r w:rsidRPr="00A74B82">
              <w:rPr>
                <w:rFonts w:ascii="IBM Plex Sans" w:hAnsi="IBM Plex Sans"/>
                <w:noProof/>
                <w:webHidden/>
              </w:rPr>
              <w:fldChar w:fldCharType="begin"/>
            </w:r>
            <w:r w:rsidRPr="00A74B82">
              <w:rPr>
                <w:rFonts w:ascii="IBM Plex Sans" w:hAnsi="IBM Plex Sans"/>
                <w:noProof/>
                <w:webHidden/>
              </w:rPr>
              <w:instrText xml:space="preserve"> PAGEREF _Toc86615283 \h </w:instrText>
            </w:r>
            <w:r w:rsidRPr="00A74B82">
              <w:rPr>
                <w:rFonts w:ascii="IBM Plex Sans" w:hAnsi="IBM Plex Sans"/>
                <w:noProof/>
                <w:webHidden/>
              </w:rPr>
            </w:r>
            <w:r w:rsidRPr="00A74B82">
              <w:rPr>
                <w:rFonts w:ascii="IBM Plex Sans" w:hAnsi="IBM Plex Sans"/>
                <w:noProof/>
                <w:webHidden/>
              </w:rPr>
              <w:fldChar w:fldCharType="separate"/>
            </w:r>
            <w:r w:rsidRPr="00A74B82">
              <w:rPr>
                <w:rFonts w:ascii="IBM Plex Sans" w:hAnsi="IBM Plex Sans"/>
                <w:noProof/>
                <w:webHidden/>
              </w:rPr>
              <w:t>12</w:t>
            </w:r>
            <w:r w:rsidRPr="00A74B82">
              <w:rPr>
                <w:rFonts w:ascii="IBM Plex Sans" w:hAnsi="IBM Plex Sans"/>
                <w:noProof/>
                <w:webHidden/>
              </w:rPr>
              <w:fldChar w:fldCharType="end"/>
            </w:r>
          </w:hyperlink>
        </w:p>
        <w:p w14:paraId="6350E2CF" w14:textId="0A240C52" w:rsidR="00191E14" w:rsidRPr="00A74B82" w:rsidRDefault="00191E14">
          <w:pPr>
            <w:pStyle w:val="TDC3"/>
            <w:tabs>
              <w:tab w:val="right" w:leader="dot" w:pos="8494"/>
            </w:tabs>
            <w:rPr>
              <w:rFonts w:ascii="IBM Plex Sans" w:hAnsi="IBM Plex Sans"/>
              <w:noProof/>
            </w:rPr>
          </w:pPr>
          <w:hyperlink w:anchor="_Toc86615284" w:history="1">
            <w:r w:rsidRPr="00A74B82">
              <w:rPr>
                <w:rStyle w:val="Hipervnculo"/>
                <w:rFonts w:ascii="IBM Plex Sans" w:hAnsi="IBM Plex Sans"/>
                <w:noProof/>
              </w:rPr>
              <w:t>Segunda institución pública (institucion_2)</w:t>
            </w:r>
            <w:r w:rsidRPr="00A74B82">
              <w:rPr>
                <w:rFonts w:ascii="IBM Plex Sans" w:hAnsi="IBM Plex Sans"/>
                <w:noProof/>
                <w:webHidden/>
              </w:rPr>
              <w:tab/>
            </w:r>
            <w:r w:rsidRPr="00A74B82">
              <w:rPr>
                <w:rFonts w:ascii="IBM Plex Sans" w:hAnsi="IBM Plex Sans"/>
                <w:noProof/>
                <w:webHidden/>
              </w:rPr>
              <w:fldChar w:fldCharType="begin"/>
            </w:r>
            <w:r w:rsidRPr="00A74B82">
              <w:rPr>
                <w:rFonts w:ascii="IBM Plex Sans" w:hAnsi="IBM Plex Sans"/>
                <w:noProof/>
                <w:webHidden/>
              </w:rPr>
              <w:instrText xml:space="preserve"> PAGEREF _Toc86615284 \h </w:instrText>
            </w:r>
            <w:r w:rsidRPr="00A74B82">
              <w:rPr>
                <w:rFonts w:ascii="IBM Plex Sans" w:hAnsi="IBM Plex Sans"/>
                <w:noProof/>
                <w:webHidden/>
              </w:rPr>
            </w:r>
            <w:r w:rsidRPr="00A74B82">
              <w:rPr>
                <w:rFonts w:ascii="IBM Plex Sans" w:hAnsi="IBM Plex Sans"/>
                <w:noProof/>
                <w:webHidden/>
              </w:rPr>
              <w:fldChar w:fldCharType="separate"/>
            </w:r>
            <w:r w:rsidRPr="00A74B82">
              <w:rPr>
                <w:rFonts w:ascii="IBM Plex Sans" w:hAnsi="IBM Plex Sans"/>
                <w:noProof/>
                <w:webHidden/>
              </w:rPr>
              <w:t>12</w:t>
            </w:r>
            <w:r w:rsidRPr="00A74B82">
              <w:rPr>
                <w:rFonts w:ascii="IBM Plex Sans" w:hAnsi="IBM Plex Sans"/>
                <w:noProof/>
                <w:webHidden/>
              </w:rPr>
              <w:fldChar w:fldCharType="end"/>
            </w:r>
          </w:hyperlink>
        </w:p>
        <w:p w14:paraId="311A1AE8" w14:textId="16871263" w:rsidR="00191E14" w:rsidRPr="00A74B82" w:rsidRDefault="00191E14">
          <w:pPr>
            <w:pStyle w:val="TDC3"/>
            <w:tabs>
              <w:tab w:val="right" w:leader="dot" w:pos="8494"/>
            </w:tabs>
            <w:rPr>
              <w:rFonts w:ascii="IBM Plex Sans" w:hAnsi="IBM Plex Sans"/>
              <w:noProof/>
            </w:rPr>
          </w:pPr>
          <w:hyperlink w:anchor="_Toc86615285" w:history="1">
            <w:r w:rsidRPr="00A74B82">
              <w:rPr>
                <w:rStyle w:val="Hipervnculo"/>
                <w:rFonts w:ascii="IBM Plex Sans" w:hAnsi="IBM Plex Sans"/>
                <w:noProof/>
              </w:rPr>
              <w:t>Tercera institución pública (institucion_3)</w:t>
            </w:r>
            <w:r w:rsidRPr="00A74B82">
              <w:rPr>
                <w:rFonts w:ascii="IBM Plex Sans" w:hAnsi="IBM Plex Sans"/>
                <w:noProof/>
                <w:webHidden/>
              </w:rPr>
              <w:tab/>
            </w:r>
            <w:r w:rsidRPr="00A74B82">
              <w:rPr>
                <w:rFonts w:ascii="IBM Plex Sans" w:hAnsi="IBM Plex Sans"/>
                <w:noProof/>
                <w:webHidden/>
              </w:rPr>
              <w:fldChar w:fldCharType="begin"/>
            </w:r>
            <w:r w:rsidRPr="00A74B82">
              <w:rPr>
                <w:rFonts w:ascii="IBM Plex Sans" w:hAnsi="IBM Plex Sans"/>
                <w:noProof/>
                <w:webHidden/>
              </w:rPr>
              <w:instrText xml:space="preserve"> PAGEREF _Toc86615285 \h </w:instrText>
            </w:r>
            <w:r w:rsidRPr="00A74B82">
              <w:rPr>
                <w:rFonts w:ascii="IBM Plex Sans" w:hAnsi="IBM Plex Sans"/>
                <w:noProof/>
                <w:webHidden/>
              </w:rPr>
            </w:r>
            <w:r w:rsidRPr="00A74B82">
              <w:rPr>
                <w:rFonts w:ascii="IBM Plex Sans" w:hAnsi="IBM Plex Sans"/>
                <w:noProof/>
                <w:webHidden/>
              </w:rPr>
              <w:fldChar w:fldCharType="separate"/>
            </w:r>
            <w:r w:rsidRPr="00A74B82">
              <w:rPr>
                <w:rFonts w:ascii="IBM Plex Sans" w:hAnsi="IBM Plex Sans"/>
                <w:noProof/>
                <w:webHidden/>
              </w:rPr>
              <w:t>13</w:t>
            </w:r>
            <w:r w:rsidRPr="00A74B82">
              <w:rPr>
                <w:rFonts w:ascii="IBM Plex Sans" w:hAnsi="IBM Plex Sans"/>
                <w:noProof/>
                <w:webHidden/>
              </w:rPr>
              <w:fldChar w:fldCharType="end"/>
            </w:r>
          </w:hyperlink>
        </w:p>
        <w:p w14:paraId="51870BD9" w14:textId="39223B04" w:rsidR="00191E14" w:rsidRPr="00A74B82" w:rsidRDefault="00191E14">
          <w:pPr>
            <w:pStyle w:val="TDC2"/>
            <w:tabs>
              <w:tab w:val="right" w:leader="dot" w:pos="8494"/>
            </w:tabs>
            <w:rPr>
              <w:rFonts w:ascii="IBM Plex Sans" w:hAnsi="IBM Plex Sans"/>
              <w:noProof/>
            </w:rPr>
          </w:pPr>
          <w:hyperlink w:anchor="_Toc86615286" w:history="1">
            <w:r w:rsidRPr="00A74B82">
              <w:rPr>
                <w:rStyle w:val="Hipervnculo"/>
                <w:rFonts w:ascii="IBM Plex Sans" w:hAnsi="IBM Plex Sans"/>
                <w:noProof/>
              </w:rPr>
              <w:t>9. Fecha de aprobación de la norma (fecha)</w:t>
            </w:r>
            <w:r w:rsidRPr="00A74B82">
              <w:rPr>
                <w:rFonts w:ascii="IBM Plex Sans" w:hAnsi="IBM Plex Sans"/>
                <w:noProof/>
                <w:webHidden/>
              </w:rPr>
              <w:tab/>
            </w:r>
            <w:r w:rsidRPr="00A74B82">
              <w:rPr>
                <w:rFonts w:ascii="IBM Plex Sans" w:hAnsi="IBM Plex Sans"/>
                <w:noProof/>
                <w:webHidden/>
              </w:rPr>
              <w:fldChar w:fldCharType="begin"/>
            </w:r>
            <w:r w:rsidRPr="00A74B82">
              <w:rPr>
                <w:rFonts w:ascii="IBM Plex Sans" w:hAnsi="IBM Plex Sans"/>
                <w:noProof/>
                <w:webHidden/>
              </w:rPr>
              <w:instrText xml:space="preserve"> PAGEREF _Toc86615286 \h </w:instrText>
            </w:r>
            <w:r w:rsidRPr="00A74B82">
              <w:rPr>
                <w:rFonts w:ascii="IBM Plex Sans" w:hAnsi="IBM Plex Sans"/>
                <w:noProof/>
                <w:webHidden/>
              </w:rPr>
            </w:r>
            <w:r w:rsidRPr="00A74B82">
              <w:rPr>
                <w:rFonts w:ascii="IBM Plex Sans" w:hAnsi="IBM Plex Sans"/>
                <w:noProof/>
                <w:webHidden/>
              </w:rPr>
              <w:fldChar w:fldCharType="separate"/>
            </w:r>
            <w:r w:rsidRPr="00A74B82">
              <w:rPr>
                <w:rFonts w:ascii="IBM Plex Sans" w:hAnsi="IBM Plex Sans"/>
                <w:noProof/>
                <w:webHidden/>
              </w:rPr>
              <w:t>21</w:t>
            </w:r>
            <w:r w:rsidRPr="00A74B82">
              <w:rPr>
                <w:rFonts w:ascii="IBM Plex Sans" w:hAnsi="IBM Plex Sans"/>
                <w:noProof/>
                <w:webHidden/>
              </w:rPr>
              <w:fldChar w:fldCharType="end"/>
            </w:r>
          </w:hyperlink>
        </w:p>
        <w:p w14:paraId="44DE6E4E" w14:textId="3A77F510" w:rsidR="00191E14" w:rsidRPr="00A74B82" w:rsidRDefault="00191E14">
          <w:pPr>
            <w:pStyle w:val="TDC2"/>
            <w:tabs>
              <w:tab w:val="right" w:leader="dot" w:pos="8494"/>
            </w:tabs>
            <w:rPr>
              <w:rFonts w:ascii="IBM Plex Sans" w:hAnsi="IBM Plex Sans"/>
              <w:noProof/>
            </w:rPr>
          </w:pPr>
          <w:hyperlink w:anchor="_Toc86615287" w:history="1">
            <w:r w:rsidRPr="00A74B82">
              <w:rPr>
                <w:rStyle w:val="Hipervnculo"/>
                <w:rFonts w:ascii="IBM Plex Sans" w:hAnsi="IBM Plex Sans"/>
                <w:noProof/>
              </w:rPr>
              <w:t>10. Efecto de la medida (efecto)</w:t>
            </w:r>
            <w:r w:rsidRPr="00A74B82">
              <w:rPr>
                <w:rFonts w:ascii="IBM Plex Sans" w:hAnsi="IBM Plex Sans"/>
                <w:noProof/>
                <w:webHidden/>
              </w:rPr>
              <w:tab/>
            </w:r>
            <w:r w:rsidRPr="00A74B82">
              <w:rPr>
                <w:rFonts w:ascii="IBM Plex Sans" w:hAnsi="IBM Plex Sans"/>
                <w:noProof/>
                <w:webHidden/>
              </w:rPr>
              <w:fldChar w:fldCharType="begin"/>
            </w:r>
            <w:r w:rsidRPr="00A74B82">
              <w:rPr>
                <w:rFonts w:ascii="IBM Plex Sans" w:hAnsi="IBM Plex Sans"/>
                <w:noProof/>
                <w:webHidden/>
              </w:rPr>
              <w:instrText xml:space="preserve"> PAGEREF _Toc86615287 \h </w:instrText>
            </w:r>
            <w:r w:rsidRPr="00A74B82">
              <w:rPr>
                <w:rFonts w:ascii="IBM Plex Sans" w:hAnsi="IBM Plex Sans"/>
                <w:noProof/>
                <w:webHidden/>
              </w:rPr>
            </w:r>
            <w:r w:rsidRPr="00A74B82">
              <w:rPr>
                <w:rFonts w:ascii="IBM Plex Sans" w:hAnsi="IBM Plex Sans"/>
                <w:noProof/>
                <w:webHidden/>
              </w:rPr>
              <w:fldChar w:fldCharType="separate"/>
            </w:r>
            <w:r w:rsidRPr="00A74B82">
              <w:rPr>
                <w:rFonts w:ascii="IBM Plex Sans" w:hAnsi="IBM Plex Sans"/>
                <w:noProof/>
                <w:webHidden/>
              </w:rPr>
              <w:t>21</w:t>
            </w:r>
            <w:r w:rsidRPr="00A74B82">
              <w:rPr>
                <w:rFonts w:ascii="IBM Plex Sans" w:hAnsi="IBM Plex Sans"/>
                <w:noProof/>
                <w:webHidden/>
              </w:rPr>
              <w:fldChar w:fldCharType="end"/>
            </w:r>
          </w:hyperlink>
        </w:p>
        <w:p w14:paraId="243A8473" w14:textId="62451234" w:rsidR="00191E14" w:rsidRPr="00A74B82" w:rsidRDefault="00191E14">
          <w:pPr>
            <w:pStyle w:val="TDC2"/>
            <w:tabs>
              <w:tab w:val="right" w:leader="dot" w:pos="8494"/>
            </w:tabs>
            <w:rPr>
              <w:rFonts w:ascii="IBM Plex Sans" w:hAnsi="IBM Plex Sans"/>
              <w:noProof/>
            </w:rPr>
          </w:pPr>
          <w:hyperlink w:anchor="_Toc86615288" w:history="1">
            <w:r w:rsidRPr="00A74B82">
              <w:rPr>
                <w:rStyle w:val="Hipervnculo"/>
                <w:rFonts w:ascii="IBM Plex Sans" w:hAnsi="IBM Plex Sans"/>
                <w:noProof/>
              </w:rPr>
              <w:t>11. Tipo de sector (sector)</w:t>
            </w:r>
            <w:r w:rsidRPr="00A74B82">
              <w:rPr>
                <w:rFonts w:ascii="IBM Plex Sans" w:hAnsi="IBM Plex Sans"/>
                <w:noProof/>
                <w:webHidden/>
              </w:rPr>
              <w:tab/>
            </w:r>
            <w:r w:rsidRPr="00A74B82">
              <w:rPr>
                <w:rFonts w:ascii="IBM Plex Sans" w:hAnsi="IBM Plex Sans"/>
                <w:noProof/>
                <w:webHidden/>
              </w:rPr>
              <w:fldChar w:fldCharType="begin"/>
            </w:r>
            <w:r w:rsidRPr="00A74B82">
              <w:rPr>
                <w:rFonts w:ascii="IBM Plex Sans" w:hAnsi="IBM Plex Sans"/>
                <w:noProof/>
                <w:webHidden/>
              </w:rPr>
              <w:instrText xml:space="preserve"> PAGEREF _Toc86615288 \h </w:instrText>
            </w:r>
            <w:r w:rsidRPr="00A74B82">
              <w:rPr>
                <w:rFonts w:ascii="IBM Plex Sans" w:hAnsi="IBM Plex Sans"/>
                <w:noProof/>
                <w:webHidden/>
              </w:rPr>
            </w:r>
            <w:r w:rsidRPr="00A74B82">
              <w:rPr>
                <w:rFonts w:ascii="IBM Plex Sans" w:hAnsi="IBM Plex Sans"/>
                <w:noProof/>
                <w:webHidden/>
              </w:rPr>
              <w:fldChar w:fldCharType="separate"/>
            </w:r>
            <w:r w:rsidRPr="00A74B82">
              <w:rPr>
                <w:rFonts w:ascii="IBM Plex Sans" w:hAnsi="IBM Plex Sans"/>
                <w:noProof/>
                <w:webHidden/>
              </w:rPr>
              <w:t>24</w:t>
            </w:r>
            <w:r w:rsidRPr="00A74B82">
              <w:rPr>
                <w:rFonts w:ascii="IBM Plex Sans" w:hAnsi="IBM Plex Sans"/>
                <w:noProof/>
                <w:webHidden/>
              </w:rPr>
              <w:fldChar w:fldCharType="end"/>
            </w:r>
          </w:hyperlink>
        </w:p>
        <w:p w14:paraId="73F7E8A5" w14:textId="6BE2C809" w:rsidR="00191E14" w:rsidRPr="00A74B82" w:rsidRDefault="00191E14">
          <w:pPr>
            <w:pStyle w:val="TDC2"/>
            <w:tabs>
              <w:tab w:val="right" w:leader="dot" w:pos="8494"/>
            </w:tabs>
            <w:rPr>
              <w:rFonts w:ascii="IBM Plex Sans" w:hAnsi="IBM Plex Sans"/>
              <w:noProof/>
            </w:rPr>
          </w:pPr>
          <w:hyperlink w:anchor="_Toc86615289" w:history="1">
            <w:r w:rsidRPr="00A74B82">
              <w:rPr>
                <w:rStyle w:val="Hipervnculo"/>
                <w:rFonts w:ascii="IBM Plex Sans" w:hAnsi="IBM Plex Sans"/>
                <w:noProof/>
              </w:rPr>
              <w:t>12. Alcance geográfico (alcance)</w:t>
            </w:r>
            <w:r w:rsidRPr="00A74B82">
              <w:rPr>
                <w:rFonts w:ascii="IBM Plex Sans" w:hAnsi="IBM Plex Sans"/>
                <w:noProof/>
                <w:webHidden/>
              </w:rPr>
              <w:tab/>
            </w:r>
            <w:r w:rsidRPr="00A74B82">
              <w:rPr>
                <w:rFonts w:ascii="IBM Plex Sans" w:hAnsi="IBM Plex Sans"/>
                <w:noProof/>
                <w:webHidden/>
              </w:rPr>
              <w:fldChar w:fldCharType="begin"/>
            </w:r>
            <w:r w:rsidRPr="00A74B82">
              <w:rPr>
                <w:rFonts w:ascii="IBM Plex Sans" w:hAnsi="IBM Plex Sans"/>
                <w:noProof/>
                <w:webHidden/>
              </w:rPr>
              <w:instrText xml:space="preserve"> PAGEREF _Toc86615289 \h </w:instrText>
            </w:r>
            <w:r w:rsidRPr="00A74B82">
              <w:rPr>
                <w:rFonts w:ascii="IBM Plex Sans" w:hAnsi="IBM Plex Sans"/>
                <w:noProof/>
                <w:webHidden/>
              </w:rPr>
            </w:r>
            <w:r w:rsidRPr="00A74B82">
              <w:rPr>
                <w:rFonts w:ascii="IBM Plex Sans" w:hAnsi="IBM Plex Sans"/>
                <w:noProof/>
                <w:webHidden/>
              </w:rPr>
              <w:fldChar w:fldCharType="separate"/>
            </w:r>
            <w:r w:rsidRPr="00A74B82">
              <w:rPr>
                <w:rFonts w:ascii="IBM Plex Sans" w:hAnsi="IBM Plex Sans"/>
                <w:noProof/>
                <w:webHidden/>
              </w:rPr>
              <w:t>26</w:t>
            </w:r>
            <w:r w:rsidRPr="00A74B82">
              <w:rPr>
                <w:rFonts w:ascii="IBM Plex Sans" w:hAnsi="IBM Plex Sans"/>
                <w:noProof/>
                <w:webHidden/>
              </w:rPr>
              <w:fldChar w:fldCharType="end"/>
            </w:r>
          </w:hyperlink>
        </w:p>
        <w:p w14:paraId="08A4FCFA" w14:textId="600DF45E" w:rsidR="00191E14" w:rsidRPr="00A74B82" w:rsidRDefault="00191E14">
          <w:pPr>
            <w:pStyle w:val="TDC2"/>
            <w:tabs>
              <w:tab w:val="right" w:leader="dot" w:pos="8494"/>
            </w:tabs>
            <w:rPr>
              <w:rFonts w:ascii="IBM Plex Sans" w:hAnsi="IBM Plex Sans"/>
              <w:noProof/>
            </w:rPr>
          </w:pPr>
          <w:hyperlink w:anchor="_Toc86615290" w:history="1">
            <w:r w:rsidRPr="00A74B82">
              <w:rPr>
                <w:rStyle w:val="Hipervnculo"/>
                <w:rFonts w:ascii="IBM Plex Sans" w:hAnsi="IBM Plex Sans"/>
                <w:noProof/>
              </w:rPr>
              <w:t>13. Tipo de población afectada directamente (tipo_poblacion) y 14. subtipo de población afectada directamente (subtipo_poblacion)</w:t>
            </w:r>
            <w:r w:rsidRPr="00A74B82">
              <w:rPr>
                <w:rFonts w:ascii="IBM Plex Sans" w:hAnsi="IBM Plex Sans"/>
                <w:noProof/>
                <w:webHidden/>
              </w:rPr>
              <w:tab/>
            </w:r>
            <w:r w:rsidRPr="00A74B82">
              <w:rPr>
                <w:rFonts w:ascii="IBM Plex Sans" w:hAnsi="IBM Plex Sans"/>
                <w:noProof/>
                <w:webHidden/>
              </w:rPr>
              <w:fldChar w:fldCharType="begin"/>
            </w:r>
            <w:r w:rsidRPr="00A74B82">
              <w:rPr>
                <w:rFonts w:ascii="IBM Plex Sans" w:hAnsi="IBM Plex Sans"/>
                <w:noProof/>
                <w:webHidden/>
              </w:rPr>
              <w:instrText xml:space="preserve"> PAGEREF _Toc86615290 \h </w:instrText>
            </w:r>
            <w:r w:rsidRPr="00A74B82">
              <w:rPr>
                <w:rFonts w:ascii="IBM Plex Sans" w:hAnsi="IBM Plex Sans"/>
                <w:noProof/>
                <w:webHidden/>
              </w:rPr>
            </w:r>
            <w:r w:rsidRPr="00A74B82">
              <w:rPr>
                <w:rFonts w:ascii="IBM Plex Sans" w:hAnsi="IBM Plex Sans"/>
                <w:noProof/>
                <w:webHidden/>
              </w:rPr>
              <w:fldChar w:fldCharType="separate"/>
            </w:r>
            <w:r w:rsidRPr="00A74B82">
              <w:rPr>
                <w:rFonts w:ascii="IBM Plex Sans" w:hAnsi="IBM Plex Sans"/>
                <w:noProof/>
                <w:webHidden/>
              </w:rPr>
              <w:t>27</w:t>
            </w:r>
            <w:r w:rsidRPr="00A74B82">
              <w:rPr>
                <w:rFonts w:ascii="IBM Plex Sans" w:hAnsi="IBM Plex Sans"/>
                <w:noProof/>
                <w:webHidden/>
              </w:rPr>
              <w:fldChar w:fldCharType="end"/>
            </w:r>
          </w:hyperlink>
        </w:p>
        <w:p w14:paraId="3C89C030" w14:textId="75502414" w:rsidR="00191E14" w:rsidRPr="00A74B82" w:rsidRDefault="00191E14">
          <w:pPr>
            <w:pStyle w:val="TDC2"/>
            <w:tabs>
              <w:tab w:val="right" w:leader="dot" w:pos="8494"/>
            </w:tabs>
            <w:rPr>
              <w:rFonts w:ascii="IBM Plex Sans" w:hAnsi="IBM Plex Sans"/>
              <w:noProof/>
            </w:rPr>
          </w:pPr>
          <w:hyperlink w:anchor="_Toc86615291" w:history="1">
            <w:r w:rsidRPr="00A74B82">
              <w:rPr>
                <w:rStyle w:val="Hipervnculo"/>
                <w:rFonts w:ascii="IBM Plex Sans" w:hAnsi="IBM Plex Sans"/>
                <w:noProof/>
              </w:rPr>
              <w:t>15. Tema (tema) y 16. subtema (subtema)</w:t>
            </w:r>
            <w:r w:rsidRPr="00A74B82">
              <w:rPr>
                <w:rFonts w:ascii="IBM Plex Sans" w:hAnsi="IBM Plex Sans"/>
                <w:noProof/>
                <w:webHidden/>
              </w:rPr>
              <w:tab/>
            </w:r>
            <w:r w:rsidRPr="00A74B82">
              <w:rPr>
                <w:rFonts w:ascii="IBM Plex Sans" w:hAnsi="IBM Plex Sans"/>
                <w:noProof/>
                <w:webHidden/>
              </w:rPr>
              <w:fldChar w:fldCharType="begin"/>
            </w:r>
            <w:r w:rsidRPr="00A74B82">
              <w:rPr>
                <w:rFonts w:ascii="IBM Plex Sans" w:hAnsi="IBM Plex Sans"/>
                <w:noProof/>
                <w:webHidden/>
              </w:rPr>
              <w:instrText xml:space="preserve"> PAGEREF _Toc86615291 \h </w:instrText>
            </w:r>
            <w:r w:rsidRPr="00A74B82">
              <w:rPr>
                <w:rFonts w:ascii="IBM Plex Sans" w:hAnsi="IBM Plex Sans"/>
                <w:noProof/>
                <w:webHidden/>
              </w:rPr>
            </w:r>
            <w:r w:rsidRPr="00A74B82">
              <w:rPr>
                <w:rFonts w:ascii="IBM Plex Sans" w:hAnsi="IBM Plex Sans"/>
                <w:noProof/>
                <w:webHidden/>
              </w:rPr>
              <w:fldChar w:fldCharType="separate"/>
            </w:r>
            <w:r w:rsidRPr="00A74B82">
              <w:rPr>
                <w:rFonts w:ascii="IBM Plex Sans" w:hAnsi="IBM Plex Sans"/>
                <w:noProof/>
                <w:webHidden/>
              </w:rPr>
              <w:t>28</w:t>
            </w:r>
            <w:r w:rsidRPr="00A74B82">
              <w:rPr>
                <w:rFonts w:ascii="IBM Plex Sans" w:hAnsi="IBM Plex Sans"/>
                <w:noProof/>
                <w:webHidden/>
              </w:rPr>
              <w:fldChar w:fldCharType="end"/>
            </w:r>
          </w:hyperlink>
        </w:p>
        <w:p w14:paraId="0B9EC237" w14:textId="239FC821" w:rsidR="00191E14" w:rsidRPr="00A74B82" w:rsidRDefault="00191E14">
          <w:pPr>
            <w:pStyle w:val="TDC2"/>
            <w:tabs>
              <w:tab w:val="right" w:leader="dot" w:pos="8494"/>
            </w:tabs>
            <w:rPr>
              <w:rFonts w:ascii="IBM Plex Sans" w:hAnsi="IBM Plex Sans"/>
              <w:noProof/>
            </w:rPr>
          </w:pPr>
          <w:hyperlink w:anchor="_Toc86615292" w:history="1">
            <w:r w:rsidRPr="00A74B82">
              <w:rPr>
                <w:rStyle w:val="Hipervnculo"/>
                <w:rFonts w:ascii="IBM Plex Sans" w:hAnsi="IBM Plex Sans"/>
                <w:noProof/>
              </w:rPr>
              <w:t>17. Mecanismo de control en el texto de la norma (control)</w:t>
            </w:r>
            <w:r w:rsidRPr="00A74B82">
              <w:rPr>
                <w:rFonts w:ascii="IBM Plex Sans" w:hAnsi="IBM Plex Sans"/>
                <w:noProof/>
                <w:webHidden/>
              </w:rPr>
              <w:tab/>
            </w:r>
            <w:r w:rsidRPr="00A74B82">
              <w:rPr>
                <w:rFonts w:ascii="IBM Plex Sans" w:hAnsi="IBM Plex Sans"/>
                <w:noProof/>
                <w:webHidden/>
              </w:rPr>
              <w:fldChar w:fldCharType="begin"/>
            </w:r>
            <w:r w:rsidRPr="00A74B82">
              <w:rPr>
                <w:rFonts w:ascii="IBM Plex Sans" w:hAnsi="IBM Plex Sans"/>
                <w:noProof/>
                <w:webHidden/>
              </w:rPr>
              <w:instrText xml:space="preserve"> PAGEREF _Toc86615292 \h </w:instrText>
            </w:r>
            <w:r w:rsidRPr="00A74B82">
              <w:rPr>
                <w:rFonts w:ascii="IBM Plex Sans" w:hAnsi="IBM Plex Sans"/>
                <w:noProof/>
                <w:webHidden/>
              </w:rPr>
            </w:r>
            <w:r w:rsidRPr="00A74B82">
              <w:rPr>
                <w:rFonts w:ascii="IBM Plex Sans" w:hAnsi="IBM Plex Sans"/>
                <w:noProof/>
                <w:webHidden/>
              </w:rPr>
              <w:fldChar w:fldCharType="separate"/>
            </w:r>
            <w:r w:rsidRPr="00A74B82">
              <w:rPr>
                <w:rFonts w:ascii="IBM Plex Sans" w:hAnsi="IBM Plex Sans"/>
                <w:noProof/>
                <w:webHidden/>
              </w:rPr>
              <w:t>29</w:t>
            </w:r>
            <w:r w:rsidRPr="00A74B82">
              <w:rPr>
                <w:rFonts w:ascii="IBM Plex Sans" w:hAnsi="IBM Plex Sans"/>
                <w:noProof/>
                <w:webHidden/>
              </w:rPr>
              <w:fldChar w:fldCharType="end"/>
            </w:r>
          </w:hyperlink>
        </w:p>
        <w:p w14:paraId="648D641D" w14:textId="55947B0D" w:rsidR="00191E14" w:rsidRPr="00A74B82" w:rsidRDefault="00191E14">
          <w:pPr>
            <w:pStyle w:val="TDC2"/>
            <w:tabs>
              <w:tab w:val="right" w:leader="dot" w:pos="8494"/>
            </w:tabs>
            <w:rPr>
              <w:rFonts w:ascii="IBM Plex Sans" w:hAnsi="IBM Plex Sans"/>
              <w:noProof/>
            </w:rPr>
          </w:pPr>
          <w:hyperlink w:anchor="_Toc86615293" w:history="1">
            <w:r w:rsidRPr="00A74B82">
              <w:rPr>
                <w:rStyle w:val="Hipervnculo"/>
                <w:rFonts w:ascii="IBM Plex Sans" w:hAnsi="IBM Plex Sans"/>
                <w:noProof/>
              </w:rPr>
              <w:t>18. Detalle del mecanismo de control en el texto de la norma (detalle_control)</w:t>
            </w:r>
            <w:r w:rsidRPr="00A74B82">
              <w:rPr>
                <w:rFonts w:ascii="IBM Plex Sans" w:hAnsi="IBM Plex Sans"/>
                <w:noProof/>
                <w:webHidden/>
              </w:rPr>
              <w:tab/>
            </w:r>
            <w:r w:rsidRPr="00A74B82">
              <w:rPr>
                <w:rFonts w:ascii="IBM Plex Sans" w:hAnsi="IBM Plex Sans"/>
                <w:noProof/>
                <w:webHidden/>
              </w:rPr>
              <w:fldChar w:fldCharType="begin"/>
            </w:r>
            <w:r w:rsidRPr="00A74B82">
              <w:rPr>
                <w:rFonts w:ascii="IBM Plex Sans" w:hAnsi="IBM Plex Sans"/>
                <w:noProof/>
                <w:webHidden/>
              </w:rPr>
              <w:instrText xml:space="preserve"> PAGEREF _Toc86615293 \h </w:instrText>
            </w:r>
            <w:r w:rsidRPr="00A74B82">
              <w:rPr>
                <w:rFonts w:ascii="IBM Plex Sans" w:hAnsi="IBM Plex Sans"/>
                <w:noProof/>
                <w:webHidden/>
              </w:rPr>
            </w:r>
            <w:r w:rsidRPr="00A74B82">
              <w:rPr>
                <w:rFonts w:ascii="IBM Plex Sans" w:hAnsi="IBM Plex Sans"/>
                <w:noProof/>
                <w:webHidden/>
              </w:rPr>
              <w:fldChar w:fldCharType="separate"/>
            </w:r>
            <w:r w:rsidRPr="00A74B82">
              <w:rPr>
                <w:rFonts w:ascii="IBM Plex Sans" w:hAnsi="IBM Plex Sans"/>
                <w:noProof/>
                <w:webHidden/>
              </w:rPr>
              <w:t>29</w:t>
            </w:r>
            <w:r w:rsidRPr="00A74B82">
              <w:rPr>
                <w:rFonts w:ascii="IBM Plex Sans" w:hAnsi="IBM Plex Sans"/>
                <w:noProof/>
                <w:webHidden/>
              </w:rPr>
              <w:fldChar w:fldCharType="end"/>
            </w:r>
          </w:hyperlink>
        </w:p>
        <w:p w14:paraId="1F4685DA" w14:textId="3F3CE270" w:rsidR="00191E14" w:rsidRPr="00A74B82" w:rsidRDefault="00191E14">
          <w:pPr>
            <w:pStyle w:val="TDC2"/>
            <w:tabs>
              <w:tab w:val="right" w:leader="dot" w:pos="8494"/>
            </w:tabs>
            <w:rPr>
              <w:rFonts w:ascii="IBM Plex Sans" w:hAnsi="IBM Plex Sans"/>
              <w:noProof/>
            </w:rPr>
          </w:pPr>
          <w:hyperlink w:anchor="_Toc86615294" w:history="1">
            <w:r w:rsidRPr="00A74B82">
              <w:rPr>
                <w:rStyle w:val="Hipervnculo"/>
                <w:rFonts w:ascii="IBM Plex Sans" w:hAnsi="IBM Plex Sans"/>
                <w:noProof/>
              </w:rPr>
              <w:t>19. ¿Medida detalla plazo de vigencia? (plazo_vigencia)</w:t>
            </w:r>
            <w:r w:rsidRPr="00A74B82">
              <w:rPr>
                <w:rFonts w:ascii="IBM Plex Sans" w:hAnsi="IBM Plex Sans"/>
                <w:noProof/>
                <w:webHidden/>
              </w:rPr>
              <w:tab/>
            </w:r>
            <w:r w:rsidRPr="00A74B82">
              <w:rPr>
                <w:rFonts w:ascii="IBM Plex Sans" w:hAnsi="IBM Plex Sans"/>
                <w:noProof/>
                <w:webHidden/>
              </w:rPr>
              <w:fldChar w:fldCharType="begin"/>
            </w:r>
            <w:r w:rsidRPr="00A74B82">
              <w:rPr>
                <w:rFonts w:ascii="IBM Plex Sans" w:hAnsi="IBM Plex Sans"/>
                <w:noProof/>
                <w:webHidden/>
              </w:rPr>
              <w:instrText xml:space="preserve"> PAGEREF _Toc86615294 \h </w:instrText>
            </w:r>
            <w:r w:rsidRPr="00A74B82">
              <w:rPr>
                <w:rFonts w:ascii="IBM Plex Sans" w:hAnsi="IBM Plex Sans"/>
                <w:noProof/>
                <w:webHidden/>
              </w:rPr>
            </w:r>
            <w:r w:rsidRPr="00A74B82">
              <w:rPr>
                <w:rFonts w:ascii="IBM Plex Sans" w:hAnsi="IBM Plex Sans"/>
                <w:noProof/>
                <w:webHidden/>
              </w:rPr>
              <w:fldChar w:fldCharType="separate"/>
            </w:r>
            <w:r w:rsidRPr="00A74B82">
              <w:rPr>
                <w:rFonts w:ascii="IBM Plex Sans" w:hAnsi="IBM Plex Sans"/>
                <w:noProof/>
                <w:webHidden/>
              </w:rPr>
              <w:t>30</w:t>
            </w:r>
            <w:r w:rsidRPr="00A74B82">
              <w:rPr>
                <w:rFonts w:ascii="IBM Plex Sans" w:hAnsi="IBM Plex Sans"/>
                <w:noProof/>
                <w:webHidden/>
              </w:rPr>
              <w:fldChar w:fldCharType="end"/>
            </w:r>
          </w:hyperlink>
        </w:p>
        <w:p w14:paraId="6F89C373" w14:textId="25FA85AE" w:rsidR="00191E14" w:rsidRPr="00A74B82" w:rsidRDefault="00191E14">
          <w:pPr>
            <w:pStyle w:val="TDC2"/>
            <w:tabs>
              <w:tab w:val="right" w:leader="dot" w:pos="8494"/>
            </w:tabs>
            <w:rPr>
              <w:rFonts w:ascii="IBM Plex Sans" w:hAnsi="IBM Plex Sans"/>
              <w:noProof/>
            </w:rPr>
          </w:pPr>
          <w:hyperlink w:anchor="_Toc86615295" w:history="1">
            <w:r w:rsidRPr="00A74B82">
              <w:rPr>
                <w:rStyle w:val="Hipervnculo"/>
                <w:rFonts w:ascii="IBM Plex Sans" w:hAnsi="IBM Plex Sans"/>
                <w:noProof/>
              </w:rPr>
              <w:t>20. Texto de plazo de vigencia (texto_vigencia)</w:t>
            </w:r>
            <w:r w:rsidRPr="00A74B82">
              <w:rPr>
                <w:rFonts w:ascii="IBM Plex Sans" w:hAnsi="IBM Plex Sans"/>
                <w:noProof/>
                <w:webHidden/>
              </w:rPr>
              <w:tab/>
            </w:r>
            <w:r w:rsidRPr="00A74B82">
              <w:rPr>
                <w:rFonts w:ascii="IBM Plex Sans" w:hAnsi="IBM Plex Sans"/>
                <w:noProof/>
                <w:webHidden/>
              </w:rPr>
              <w:fldChar w:fldCharType="begin"/>
            </w:r>
            <w:r w:rsidRPr="00A74B82">
              <w:rPr>
                <w:rFonts w:ascii="IBM Plex Sans" w:hAnsi="IBM Plex Sans"/>
                <w:noProof/>
                <w:webHidden/>
              </w:rPr>
              <w:instrText xml:space="preserve"> PAGEREF _Toc86615295 \h </w:instrText>
            </w:r>
            <w:r w:rsidRPr="00A74B82">
              <w:rPr>
                <w:rFonts w:ascii="IBM Plex Sans" w:hAnsi="IBM Plex Sans"/>
                <w:noProof/>
                <w:webHidden/>
              </w:rPr>
            </w:r>
            <w:r w:rsidRPr="00A74B82">
              <w:rPr>
                <w:rFonts w:ascii="IBM Plex Sans" w:hAnsi="IBM Plex Sans"/>
                <w:noProof/>
                <w:webHidden/>
              </w:rPr>
              <w:fldChar w:fldCharType="separate"/>
            </w:r>
            <w:r w:rsidRPr="00A74B82">
              <w:rPr>
                <w:rFonts w:ascii="IBM Plex Sans" w:hAnsi="IBM Plex Sans"/>
                <w:noProof/>
                <w:webHidden/>
              </w:rPr>
              <w:t>30</w:t>
            </w:r>
            <w:r w:rsidRPr="00A74B82">
              <w:rPr>
                <w:rFonts w:ascii="IBM Plex Sans" w:hAnsi="IBM Plex Sans"/>
                <w:noProof/>
                <w:webHidden/>
              </w:rPr>
              <w:fldChar w:fldCharType="end"/>
            </w:r>
          </w:hyperlink>
        </w:p>
        <w:p w14:paraId="131C0904" w14:textId="34DB65AD" w:rsidR="00191E14" w:rsidRPr="00A74B82" w:rsidRDefault="00191E14">
          <w:pPr>
            <w:pStyle w:val="TDC2"/>
            <w:tabs>
              <w:tab w:val="right" w:leader="dot" w:pos="8494"/>
            </w:tabs>
            <w:rPr>
              <w:rFonts w:ascii="IBM Plex Sans" w:hAnsi="IBM Plex Sans"/>
              <w:noProof/>
            </w:rPr>
          </w:pPr>
          <w:hyperlink w:anchor="_Toc86615296" w:history="1">
            <w:r w:rsidRPr="00A74B82">
              <w:rPr>
                <w:rStyle w:val="Hipervnculo"/>
                <w:rFonts w:ascii="IBM Plex Sans" w:hAnsi="IBM Plex Sans"/>
                <w:noProof/>
              </w:rPr>
              <w:t>21. Fecha de vigencia de la medida (fecha_vigencia)</w:t>
            </w:r>
            <w:r w:rsidRPr="00A74B82">
              <w:rPr>
                <w:rFonts w:ascii="IBM Plex Sans" w:hAnsi="IBM Plex Sans"/>
                <w:noProof/>
                <w:webHidden/>
              </w:rPr>
              <w:tab/>
            </w:r>
            <w:r w:rsidRPr="00A74B82">
              <w:rPr>
                <w:rFonts w:ascii="IBM Plex Sans" w:hAnsi="IBM Plex Sans"/>
                <w:noProof/>
                <w:webHidden/>
              </w:rPr>
              <w:fldChar w:fldCharType="begin"/>
            </w:r>
            <w:r w:rsidRPr="00A74B82">
              <w:rPr>
                <w:rFonts w:ascii="IBM Plex Sans" w:hAnsi="IBM Plex Sans"/>
                <w:noProof/>
                <w:webHidden/>
              </w:rPr>
              <w:instrText xml:space="preserve"> PAGEREF _Toc86615296 \h </w:instrText>
            </w:r>
            <w:r w:rsidRPr="00A74B82">
              <w:rPr>
                <w:rFonts w:ascii="IBM Plex Sans" w:hAnsi="IBM Plex Sans"/>
                <w:noProof/>
                <w:webHidden/>
              </w:rPr>
            </w:r>
            <w:r w:rsidRPr="00A74B82">
              <w:rPr>
                <w:rFonts w:ascii="IBM Plex Sans" w:hAnsi="IBM Plex Sans"/>
                <w:noProof/>
                <w:webHidden/>
              </w:rPr>
              <w:fldChar w:fldCharType="separate"/>
            </w:r>
            <w:r w:rsidRPr="00A74B82">
              <w:rPr>
                <w:rFonts w:ascii="IBM Plex Sans" w:hAnsi="IBM Plex Sans"/>
                <w:noProof/>
                <w:webHidden/>
              </w:rPr>
              <w:t>30</w:t>
            </w:r>
            <w:r w:rsidRPr="00A74B82">
              <w:rPr>
                <w:rFonts w:ascii="IBM Plex Sans" w:hAnsi="IBM Plex Sans"/>
                <w:noProof/>
                <w:webHidden/>
              </w:rPr>
              <w:fldChar w:fldCharType="end"/>
            </w:r>
          </w:hyperlink>
        </w:p>
        <w:p w14:paraId="3592AA35" w14:textId="03ED6BB3" w:rsidR="00191E14" w:rsidRPr="00A74B82" w:rsidRDefault="00191E14" w:rsidP="00A74B82">
          <w:pPr>
            <w:pStyle w:val="TDC1"/>
          </w:pPr>
          <w:hyperlink w:anchor="_Toc86615297" w:history="1">
            <w:r w:rsidRPr="00A74B82">
              <w:rPr>
                <w:rStyle w:val="Hipervnculo"/>
              </w:rPr>
              <w:t>V. Referencias bibliográficas</w:t>
            </w:r>
            <w:r w:rsidRPr="00A74B82">
              <w:rPr>
                <w:webHidden/>
              </w:rPr>
              <w:tab/>
            </w:r>
            <w:r w:rsidRPr="00A74B82">
              <w:rPr>
                <w:webHidden/>
              </w:rPr>
              <w:fldChar w:fldCharType="begin"/>
            </w:r>
            <w:r w:rsidRPr="00A74B82">
              <w:rPr>
                <w:webHidden/>
              </w:rPr>
              <w:instrText xml:space="preserve"> PAGEREF _Toc86615297 \h </w:instrText>
            </w:r>
            <w:r w:rsidRPr="00A74B82">
              <w:rPr>
                <w:webHidden/>
              </w:rPr>
            </w:r>
            <w:r w:rsidRPr="00A74B82">
              <w:rPr>
                <w:webHidden/>
              </w:rPr>
              <w:fldChar w:fldCharType="separate"/>
            </w:r>
            <w:r w:rsidRPr="00A74B82">
              <w:rPr>
                <w:webHidden/>
              </w:rPr>
              <w:t>31</w:t>
            </w:r>
            <w:r w:rsidRPr="00A74B82">
              <w:rPr>
                <w:webHidden/>
              </w:rPr>
              <w:fldChar w:fldCharType="end"/>
            </w:r>
          </w:hyperlink>
        </w:p>
        <w:p w14:paraId="3E07007F" w14:textId="464965E1" w:rsidR="00191E14" w:rsidRPr="00A74B82" w:rsidRDefault="00191E14">
          <w:pPr>
            <w:rPr>
              <w:rFonts w:ascii="IBM Plex Sans" w:hAnsi="IBM Plex Sans"/>
              <w:sz w:val="20"/>
              <w:szCs w:val="20"/>
            </w:rPr>
          </w:pPr>
          <w:r w:rsidRPr="00A74B82">
            <w:rPr>
              <w:rFonts w:ascii="IBM Plex Sans" w:hAnsi="IBM Plex Sans"/>
              <w:b/>
              <w:bCs/>
              <w:lang w:val="es-ES"/>
            </w:rPr>
            <w:fldChar w:fldCharType="end"/>
          </w:r>
        </w:p>
      </w:sdtContent>
    </w:sdt>
    <w:p w14:paraId="16CE227D" w14:textId="77777777" w:rsidR="00191E14" w:rsidRDefault="00191E14" w:rsidP="00191E14">
      <w:pPr>
        <w:pStyle w:val="Sinespaciado"/>
        <w:jc w:val="both"/>
      </w:pPr>
    </w:p>
    <w:p w14:paraId="573A7F96" w14:textId="50744028" w:rsidR="00760835" w:rsidRPr="005445B1" w:rsidRDefault="00760835" w:rsidP="00191E14">
      <w:pPr>
        <w:pStyle w:val="Sinespaciado"/>
        <w:jc w:val="both"/>
      </w:pPr>
      <w:r>
        <w:br w:type="page"/>
      </w:r>
    </w:p>
    <w:p w14:paraId="72675B6C" w14:textId="0026453A" w:rsidR="00E077BE" w:rsidRPr="00753A5B" w:rsidRDefault="00E077BE" w:rsidP="003520BA">
      <w:pPr>
        <w:pStyle w:val="Ttulo1"/>
        <w:spacing w:after="240"/>
        <w:jc w:val="both"/>
        <w:rPr>
          <w:rFonts w:ascii="IBM Plex Sans" w:hAnsi="IBM Plex Sans"/>
        </w:rPr>
      </w:pPr>
      <w:bookmarkStart w:id="0" w:name="_Toc86615271"/>
      <w:r w:rsidRPr="00753A5B">
        <w:rPr>
          <w:rFonts w:ascii="IBM Plex Sans" w:hAnsi="IBM Plex Sans"/>
        </w:rPr>
        <w:lastRenderedPageBreak/>
        <w:t>I. Presentación</w:t>
      </w:r>
      <w:bookmarkEnd w:id="0"/>
    </w:p>
    <w:p w14:paraId="022B2F75" w14:textId="77777777" w:rsidR="00E077BE" w:rsidRPr="00A67493" w:rsidRDefault="00E077BE" w:rsidP="003520BA">
      <w:pPr>
        <w:pStyle w:val="Sinespaciado"/>
        <w:spacing w:after="240"/>
        <w:jc w:val="both"/>
        <w:rPr>
          <w:rFonts w:ascii="IBM Plex Sans" w:hAnsi="IBM Plex Sans"/>
        </w:rPr>
      </w:pPr>
      <w:r w:rsidRPr="00A67493">
        <w:rPr>
          <w:rFonts w:ascii="IBM Plex Sans" w:hAnsi="IBM Plex Sans"/>
        </w:rPr>
        <w:t>El presente manual tiene como objetivo: describir las variables y las categorías utilizadas en la construcción de la base de datos sobre las medidas adoptadas por el Estado costarricense como respuesta ante la emergencia generada por el COVID-19.</w:t>
      </w:r>
    </w:p>
    <w:p w14:paraId="1571688E" w14:textId="30F758B7" w:rsidR="00E077BE" w:rsidRPr="00A67493" w:rsidRDefault="003709BA" w:rsidP="003520BA">
      <w:pPr>
        <w:pStyle w:val="Sinespaciado"/>
        <w:spacing w:after="240"/>
        <w:jc w:val="both"/>
        <w:rPr>
          <w:rFonts w:ascii="IBM Plex Sans" w:hAnsi="IBM Plex Sans"/>
        </w:rPr>
      </w:pPr>
      <w:r w:rsidRPr="00A67493">
        <w:rPr>
          <w:rFonts w:ascii="IBM Plex Sans" w:hAnsi="IBM Plex Sans"/>
        </w:rPr>
        <w:t>El</w:t>
      </w:r>
      <w:r w:rsidR="00E077BE" w:rsidRPr="00A67493">
        <w:rPr>
          <w:rFonts w:ascii="IBM Plex Sans" w:hAnsi="IBM Plex Sans"/>
        </w:rPr>
        <w:t xml:space="preserve"> objetivo de esta base de datos </w:t>
      </w:r>
      <w:r w:rsidRPr="00A67493">
        <w:rPr>
          <w:rFonts w:ascii="IBM Plex Sans" w:hAnsi="IBM Plex Sans"/>
        </w:rPr>
        <w:t>e</w:t>
      </w:r>
      <w:r w:rsidR="00E077BE" w:rsidRPr="00A67493">
        <w:rPr>
          <w:rFonts w:ascii="IBM Plex Sans" w:hAnsi="IBM Plex Sans"/>
        </w:rPr>
        <w:t>s:</w:t>
      </w:r>
      <w:r w:rsidRPr="00A67493">
        <w:rPr>
          <w:rFonts w:ascii="IBM Plex Sans" w:hAnsi="IBM Plex Sans"/>
        </w:rPr>
        <w:t xml:space="preserve"> m</w:t>
      </w:r>
      <w:r w:rsidR="00E077BE" w:rsidRPr="00A67493">
        <w:rPr>
          <w:rFonts w:ascii="IBM Plex Sans" w:hAnsi="IBM Plex Sans"/>
        </w:rPr>
        <w:t>apear y sistematizar todas las medidas que está tomando el Estado como respuesta ante la situación de emergencia generada por el COVID-19 en Costa Rica, con fines de seguimiento, estadísticos y de investigación académica.</w:t>
      </w:r>
    </w:p>
    <w:p w14:paraId="4B60E3EC" w14:textId="240EF984" w:rsidR="00092CDA" w:rsidRPr="00753A5B" w:rsidRDefault="00092CDA" w:rsidP="003520BA">
      <w:pPr>
        <w:pStyle w:val="Ttulo1"/>
        <w:spacing w:after="240"/>
        <w:jc w:val="both"/>
        <w:rPr>
          <w:rFonts w:ascii="IBM Plex Sans" w:hAnsi="IBM Plex Sans"/>
        </w:rPr>
      </w:pPr>
      <w:bookmarkStart w:id="1" w:name="_Hlk39147125"/>
      <w:bookmarkStart w:id="2" w:name="_Toc86615272"/>
      <w:r w:rsidRPr="00753A5B">
        <w:rPr>
          <w:rFonts w:ascii="IBM Plex Sans" w:hAnsi="IBM Plex Sans"/>
        </w:rPr>
        <w:t>II. Unidad de análisis</w:t>
      </w:r>
      <w:bookmarkEnd w:id="2"/>
    </w:p>
    <w:bookmarkEnd w:id="1"/>
    <w:p w14:paraId="686DB2AF" w14:textId="15F02AA6" w:rsidR="00196E92" w:rsidRPr="00A67493" w:rsidRDefault="00196E92" w:rsidP="003520BA">
      <w:pPr>
        <w:pStyle w:val="Sinespaciado"/>
        <w:spacing w:after="240"/>
        <w:jc w:val="both"/>
        <w:rPr>
          <w:rFonts w:ascii="IBM Plex Sans" w:hAnsi="IBM Plex Sans"/>
        </w:rPr>
      </w:pPr>
      <w:r w:rsidRPr="00A67493">
        <w:rPr>
          <w:rFonts w:ascii="IBM Plex Sans" w:hAnsi="IBM Plex Sans"/>
        </w:rPr>
        <w:t>Para efectos de la presente base de datos, la unidad de análisis es cada medida tomada por el Estado costarricense como respuesta ante la emergencia generada por el COVID-19. Las medidas son todas aquellas acciones emitidas por el Estado costarricense que buscan mitigar los efectos de la emergencia.</w:t>
      </w:r>
    </w:p>
    <w:p w14:paraId="536CC834" w14:textId="77777777" w:rsidR="00196E92" w:rsidRPr="00753A5B" w:rsidRDefault="00196E92" w:rsidP="003520BA">
      <w:pPr>
        <w:pStyle w:val="Ttulo2"/>
        <w:spacing w:after="240"/>
        <w:jc w:val="both"/>
        <w:rPr>
          <w:rFonts w:ascii="IBM Plex Sans" w:hAnsi="IBM Plex Sans"/>
        </w:rPr>
      </w:pPr>
      <w:bookmarkStart w:id="3" w:name="_Toc86615273"/>
      <w:r w:rsidRPr="00753A5B">
        <w:rPr>
          <w:rFonts w:ascii="IBM Plex Sans" w:hAnsi="IBM Plex Sans"/>
        </w:rPr>
        <w:t>¿Cómo identificar una medida cuando leemos un texto?</w:t>
      </w:r>
      <w:bookmarkEnd w:id="3"/>
    </w:p>
    <w:p w14:paraId="0F494A8F" w14:textId="72B28787" w:rsidR="00196E92" w:rsidRPr="00A67493" w:rsidRDefault="00196E92" w:rsidP="00A67493">
      <w:pPr>
        <w:pStyle w:val="Sinespaciado"/>
        <w:spacing w:after="240"/>
        <w:jc w:val="both"/>
        <w:rPr>
          <w:rFonts w:ascii="IBM Plex Sans" w:hAnsi="IBM Plex Sans"/>
        </w:rPr>
      </w:pPr>
      <w:r w:rsidRPr="00A67493">
        <w:rPr>
          <w:rFonts w:ascii="IBM Plex Sans" w:hAnsi="IBM Plex Sans"/>
        </w:rPr>
        <w:t xml:space="preserve">Una medida es una </w:t>
      </w:r>
      <w:r w:rsidR="002C66EC" w:rsidRPr="00A67493">
        <w:rPr>
          <w:rFonts w:ascii="IBM Plex Sans" w:hAnsi="IBM Plex Sans"/>
        </w:rPr>
        <w:t>acción</w:t>
      </w:r>
      <w:r w:rsidRPr="00A67493">
        <w:rPr>
          <w:rFonts w:ascii="IBM Plex Sans" w:hAnsi="IBM Plex Sans"/>
        </w:rPr>
        <w:t xml:space="preserve"> específica para </w:t>
      </w:r>
      <w:r w:rsidR="002C66EC" w:rsidRPr="00A67493">
        <w:rPr>
          <w:rFonts w:ascii="IBM Plex Sans" w:hAnsi="IBM Plex Sans"/>
        </w:rPr>
        <w:t>proceder</w:t>
      </w:r>
      <w:r w:rsidRPr="00A67493">
        <w:rPr>
          <w:rFonts w:ascii="IBM Plex Sans" w:hAnsi="IBM Plex Sans"/>
        </w:rPr>
        <w:t xml:space="preserve"> sobre un tema particular, su contenido puede ser de mayor o menor complejidad y con un alcance variable, su importancia radica en ser una </w:t>
      </w:r>
      <w:r w:rsidR="002C66EC" w:rsidRPr="00A67493">
        <w:rPr>
          <w:rFonts w:ascii="IBM Plex Sans" w:hAnsi="IBM Plex Sans"/>
        </w:rPr>
        <w:t>medida</w:t>
      </w:r>
      <w:r w:rsidRPr="00A67493">
        <w:rPr>
          <w:rFonts w:ascii="IBM Plex Sans" w:hAnsi="IBM Plex Sans"/>
        </w:rPr>
        <w:t xml:space="preserve"> distinta a las otras, tiene un sentido y una unidad propia, no puede ser subdividida. Por ejemplo: la restricción vehicular es una </w:t>
      </w:r>
      <w:r w:rsidR="002C66EC" w:rsidRPr="00A67493">
        <w:rPr>
          <w:rFonts w:ascii="IBM Plex Sans" w:hAnsi="IBM Plex Sans"/>
        </w:rPr>
        <w:t>acción</w:t>
      </w:r>
      <w:r w:rsidRPr="00A67493">
        <w:rPr>
          <w:rFonts w:ascii="IBM Plex Sans" w:hAnsi="IBM Plex Sans"/>
        </w:rPr>
        <w:t xml:space="preserve"> particular con un contenido más o menos detallado, pero el documento que aprueba oficialmente esta </w:t>
      </w:r>
      <w:r w:rsidR="002C66EC" w:rsidRPr="00A67493">
        <w:rPr>
          <w:rFonts w:ascii="IBM Plex Sans" w:hAnsi="IBM Plex Sans"/>
        </w:rPr>
        <w:t>medida</w:t>
      </w:r>
      <w:r w:rsidRPr="00A67493">
        <w:rPr>
          <w:rFonts w:ascii="IBM Plex Sans" w:hAnsi="IBM Plex Sans"/>
        </w:rPr>
        <w:t xml:space="preserve"> es tratada como una sola acción, aunque puede contener diversas regulaciones.</w:t>
      </w:r>
    </w:p>
    <w:p w14:paraId="09BE175C" w14:textId="5492C409" w:rsidR="00196E92" w:rsidRPr="00A67493" w:rsidRDefault="00196E92" w:rsidP="00A67493">
      <w:pPr>
        <w:pStyle w:val="Sinespaciado"/>
        <w:spacing w:after="240"/>
        <w:jc w:val="both"/>
        <w:rPr>
          <w:rFonts w:ascii="IBM Plex Sans" w:hAnsi="IBM Plex Sans"/>
        </w:rPr>
      </w:pPr>
      <w:r w:rsidRPr="00A67493">
        <w:rPr>
          <w:rFonts w:ascii="IBM Plex Sans" w:hAnsi="IBM Plex Sans"/>
        </w:rPr>
        <w:t xml:space="preserve">De la misma manera, una ley y/o un decreto podría contener varias medidas. Es importante aclarar que una </w:t>
      </w:r>
      <w:r w:rsidR="002C66EC" w:rsidRPr="00A67493">
        <w:rPr>
          <w:rFonts w:ascii="IBM Plex Sans" w:hAnsi="IBM Plex Sans"/>
        </w:rPr>
        <w:t>medida</w:t>
      </w:r>
      <w:r w:rsidRPr="00A67493">
        <w:rPr>
          <w:rFonts w:ascii="IBM Plex Sans" w:hAnsi="IBM Plex Sans"/>
        </w:rPr>
        <w:t xml:space="preserve"> puede estar en uno o varios párrafos, asimismo, un párrafo podría incluir dos o más </w:t>
      </w:r>
      <w:r w:rsidR="002C66EC" w:rsidRPr="00A67493">
        <w:rPr>
          <w:rFonts w:ascii="IBM Plex Sans" w:hAnsi="IBM Plex Sans"/>
        </w:rPr>
        <w:t>medidas</w:t>
      </w:r>
      <w:r w:rsidRPr="00A67493">
        <w:rPr>
          <w:rFonts w:ascii="IBM Plex Sans" w:hAnsi="IBM Plex Sans"/>
        </w:rPr>
        <w:t xml:space="preserve"> específicas distintas; por esta razón, el investigador o la investigadora a cargo del llenado de la base de datos debe determinar la cantidad de medidas contenidas en un documento después de su lectura y, en caso de duda, debe consultar.</w:t>
      </w:r>
    </w:p>
    <w:p w14:paraId="5C92DBDE" w14:textId="77777777" w:rsidR="00196E92" w:rsidRPr="00A67493" w:rsidRDefault="00196E92" w:rsidP="00A67493">
      <w:pPr>
        <w:pStyle w:val="Sinespaciado"/>
        <w:spacing w:after="240"/>
        <w:jc w:val="both"/>
        <w:rPr>
          <w:rFonts w:ascii="IBM Plex Sans" w:hAnsi="IBM Plex Sans"/>
        </w:rPr>
      </w:pPr>
      <w:r w:rsidRPr="00A67493">
        <w:rPr>
          <w:rFonts w:ascii="IBM Plex Sans" w:hAnsi="IBM Plex Sans"/>
        </w:rPr>
        <w:t>Ejemplos:</w:t>
      </w:r>
    </w:p>
    <w:p w14:paraId="0909BD60" w14:textId="65338BCF" w:rsidR="00196E92" w:rsidRDefault="00196E92" w:rsidP="00196E92">
      <w:pPr>
        <w:spacing w:line="360" w:lineRule="auto"/>
        <w:jc w:val="both"/>
        <w:rPr>
          <w:rFonts w:ascii="Arial" w:hAnsi="Arial" w:cs="Arial"/>
        </w:rPr>
      </w:pPr>
      <w:r>
        <w:rPr>
          <w:rFonts w:ascii="Arial" w:hAnsi="Arial" w:cs="Arial"/>
          <w:noProof/>
        </w:rPr>
        <w:lastRenderedPageBreak/>
        <w:drawing>
          <wp:inline distT="0" distB="0" distL="0" distR="0" wp14:anchorId="072D1AE7" wp14:editId="7A7E9553">
            <wp:extent cx="5400040" cy="3295650"/>
            <wp:effectExtent l="0" t="0" r="0" b="0"/>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Imagen que contiene text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295650"/>
                    </a:xfrm>
                    <a:prstGeom prst="rect">
                      <a:avLst/>
                    </a:prstGeom>
                    <a:noFill/>
                    <a:ln>
                      <a:noFill/>
                    </a:ln>
                  </pic:spPr>
                </pic:pic>
              </a:graphicData>
            </a:graphic>
          </wp:inline>
        </w:drawing>
      </w:r>
    </w:p>
    <w:p w14:paraId="4715BDD7" w14:textId="77777777" w:rsidR="00196E92" w:rsidRPr="003520BA" w:rsidRDefault="00196E92" w:rsidP="003520BA">
      <w:pPr>
        <w:pStyle w:val="Sinespaciado"/>
        <w:spacing w:after="240"/>
        <w:jc w:val="both"/>
        <w:rPr>
          <w:rFonts w:ascii="IBM Plex Sans" w:hAnsi="IBM Plex Sans"/>
          <w:b/>
          <w:bCs/>
        </w:rPr>
      </w:pPr>
      <w:r w:rsidRPr="003520BA">
        <w:rPr>
          <w:rFonts w:ascii="IBM Plex Sans" w:hAnsi="IBM Plex Sans"/>
          <w:b/>
          <w:bCs/>
        </w:rPr>
        <w:t>Criterios:</w:t>
      </w:r>
    </w:p>
    <w:p w14:paraId="2820B208" w14:textId="50F5D68B" w:rsidR="00196E92" w:rsidRPr="003520BA" w:rsidRDefault="00196E92" w:rsidP="003520BA">
      <w:pPr>
        <w:pStyle w:val="Sinespaciado"/>
        <w:numPr>
          <w:ilvl w:val="0"/>
          <w:numId w:val="28"/>
        </w:numPr>
        <w:spacing w:after="240"/>
        <w:jc w:val="both"/>
        <w:rPr>
          <w:rFonts w:ascii="IBM Plex Sans" w:hAnsi="IBM Plex Sans"/>
        </w:rPr>
      </w:pPr>
      <w:r w:rsidRPr="003520BA">
        <w:rPr>
          <w:rFonts w:ascii="IBM Plex Sans" w:hAnsi="IBM Plex Sans"/>
        </w:rPr>
        <w:t>La medida corresponde a una acción por parte de una institución pública, es decir, cuando una institución</w:t>
      </w:r>
      <w:r w:rsidR="002C66EC" w:rsidRPr="003520BA">
        <w:rPr>
          <w:rFonts w:ascii="IBM Plex Sans" w:hAnsi="IBM Plex Sans"/>
        </w:rPr>
        <w:t xml:space="preserve"> por iniciativa propia, una orden o porque sus competencias así lo indican</w:t>
      </w:r>
      <w:r w:rsidRPr="003520BA">
        <w:rPr>
          <w:rFonts w:ascii="IBM Plex Sans" w:hAnsi="IBM Plex Sans"/>
        </w:rPr>
        <w:t xml:space="preserve"> desarrolla nuevas funciones, aplica nuevas regulaciones</w:t>
      </w:r>
      <w:r w:rsidR="00B81841" w:rsidRPr="003520BA">
        <w:rPr>
          <w:rFonts w:ascii="IBM Plex Sans" w:hAnsi="IBM Plex Sans"/>
        </w:rPr>
        <w:t xml:space="preserve"> e</w:t>
      </w:r>
      <w:r w:rsidRPr="003520BA">
        <w:rPr>
          <w:rFonts w:ascii="IBM Plex Sans" w:hAnsi="IBM Plex Sans"/>
        </w:rPr>
        <w:t xml:space="preserve"> intervenciones de política, inv</w:t>
      </w:r>
      <w:r w:rsidR="002C66EC" w:rsidRPr="003520BA">
        <w:rPr>
          <w:rFonts w:ascii="IBM Plex Sans" w:hAnsi="IBM Plex Sans"/>
        </w:rPr>
        <w:t>ierte en</w:t>
      </w:r>
      <w:r w:rsidRPr="003520BA">
        <w:rPr>
          <w:rFonts w:ascii="IBM Plex Sans" w:hAnsi="IBM Plex Sans"/>
        </w:rPr>
        <w:t xml:space="preserve"> nuevos recursos o realiza operaciones con la finalidad expresa de dar respuesta ante el COVID-19 y sus efectos. Entre las medidas, también se consideran la creación de espacios o mesas de diálogo entre sectores o varias instituciones.</w:t>
      </w:r>
    </w:p>
    <w:p w14:paraId="095A96FB" w14:textId="77777777" w:rsidR="00196E92" w:rsidRPr="003520BA" w:rsidRDefault="00196E92" w:rsidP="003520BA">
      <w:pPr>
        <w:pStyle w:val="Sinespaciado"/>
        <w:numPr>
          <w:ilvl w:val="0"/>
          <w:numId w:val="28"/>
        </w:numPr>
        <w:spacing w:after="240"/>
        <w:jc w:val="both"/>
        <w:rPr>
          <w:rFonts w:ascii="IBM Plex Sans" w:hAnsi="IBM Plex Sans"/>
        </w:rPr>
      </w:pPr>
      <w:r w:rsidRPr="003520BA">
        <w:rPr>
          <w:rFonts w:ascii="IBM Plex Sans" w:hAnsi="IBM Plex Sans"/>
        </w:rPr>
        <w:t>Sólo se considerarán como medidas a las que tienen efectos en la vida social, económica, política y/o ambiental de la población en general o en sectores específicos.</w:t>
      </w:r>
    </w:p>
    <w:p w14:paraId="735EC5E4" w14:textId="02347C86" w:rsidR="00196E92" w:rsidRPr="003520BA" w:rsidRDefault="00196E92" w:rsidP="003520BA">
      <w:pPr>
        <w:pStyle w:val="Sinespaciado"/>
        <w:numPr>
          <w:ilvl w:val="0"/>
          <w:numId w:val="28"/>
        </w:numPr>
        <w:spacing w:after="240"/>
        <w:jc w:val="both"/>
        <w:rPr>
          <w:rFonts w:ascii="IBM Plex Sans" w:hAnsi="IBM Plex Sans"/>
        </w:rPr>
      </w:pPr>
      <w:r w:rsidRPr="003520BA">
        <w:rPr>
          <w:rFonts w:ascii="IBM Plex Sans" w:hAnsi="IBM Plex Sans"/>
        </w:rPr>
        <w:t>La medida es una acción aprobada por la autoridad competente. Por ejemplo: un decreto se registra en la base de datos hasta que sea firmado por el Poder Ejecutivo y publicado en el Diario Oficial La Gaceta.</w:t>
      </w:r>
    </w:p>
    <w:p w14:paraId="15DAAA33" w14:textId="77777777" w:rsidR="00196E92" w:rsidRPr="003520BA" w:rsidRDefault="00196E92" w:rsidP="003520BA">
      <w:pPr>
        <w:pStyle w:val="Sinespaciado"/>
        <w:numPr>
          <w:ilvl w:val="0"/>
          <w:numId w:val="28"/>
        </w:numPr>
        <w:spacing w:after="240"/>
        <w:jc w:val="both"/>
        <w:rPr>
          <w:rFonts w:ascii="IBM Plex Sans" w:hAnsi="IBM Plex Sans"/>
        </w:rPr>
      </w:pPr>
      <w:r w:rsidRPr="003520BA">
        <w:rPr>
          <w:rFonts w:ascii="IBM Plex Sans" w:hAnsi="IBM Plex Sans"/>
        </w:rPr>
        <w:t>La medida tiene un documento de respaldo. Por ejemplo: leyes, decretos, directrices, convenios (si es internacional, va antes que la ley), acuerdos, resoluciones, lineamientos, protocolos, informes, oficios, circulares y comunicados. Si una medida tiene varios documentos, se tomará como respaldo el documento que posea un rango jerárquico mayor. Además, un documento puede tener varias medidas cuantificables, por esta razón, es indispensable la revisión de todo el documento.</w:t>
      </w:r>
    </w:p>
    <w:p w14:paraId="00C02F70" w14:textId="77777777" w:rsidR="00196E92" w:rsidRPr="003520BA" w:rsidRDefault="00196E92" w:rsidP="003520BA">
      <w:pPr>
        <w:pStyle w:val="Sinespaciado"/>
        <w:spacing w:after="240"/>
        <w:jc w:val="both"/>
        <w:rPr>
          <w:rFonts w:ascii="IBM Plex Sans" w:hAnsi="IBM Plex Sans"/>
          <w:b/>
          <w:bCs/>
        </w:rPr>
      </w:pPr>
      <w:r w:rsidRPr="003520BA">
        <w:rPr>
          <w:rFonts w:ascii="IBM Plex Sans" w:hAnsi="IBM Plex Sans"/>
          <w:b/>
          <w:bCs/>
        </w:rPr>
        <w:t>Aclaraciones:</w:t>
      </w:r>
    </w:p>
    <w:p w14:paraId="67E8850C" w14:textId="4DB4B849" w:rsidR="00196E92" w:rsidRPr="003520BA" w:rsidRDefault="00196E92" w:rsidP="003520BA">
      <w:pPr>
        <w:pStyle w:val="Sinespaciado"/>
        <w:numPr>
          <w:ilvl w:val="0"/>
          <w:numId w:val="29"/>
        </w:numPr>
        <w:spacing w:after="240"/>
        <w:jc w:val="both"/>
        <w:rPr>
          <w:rFonts w:ascii="IBM Plex Sans" w:hAnsi="IBM Plex Sans"/>
        </w:rPr>
      </w:pPr>
      <w:r w:rsidRPr="003520BA">
        <w:rPr>
          <w:rFonts w:ascii="IBM Plex Sans" w:hAnsi="IBM Plex Sans"/>
        </w:rPr>
        <w:t xml:space="preserve">Si </w:t>
      </w:r>
      <w:r w:rsidR="006E5C8C" w:rsidRPr="003520BA">
        <w:rPr>
          <w:rFonts w:ascii="IBM Plex Sans" w:hAnsi="IBM Plex Sans"/>
        </w:rPr>
        <w:t>la función, intención y características</w:t>
      </w:r>
      <w:r w:rsidRPr="003520BA">
        <w:rPr>
          <w:rFonts w:ascii="IBM Plex Sans" w:hAnsi="IBM Plex Sans"/>
        </w:rPr>
        <w:t xml:space="preserve"> de la medida cambia</w:t>
      </w:r>
      <w:r w:rsidR="006E5C8C" w:rsidRPr="003520BA">
        <w:rPr>
          <w:rFonts w:ascii="IBM Plex Sans" w:hAnsi="IBM Plex Sans"/>
        </w:rPr>
        <w:t>n</w:t>
      </w:r>
      <w:r w:rsidRPr="003520BA">
        <w:rPr>
          <w:rFonts w:ascii="IBM Plex Sans" w:hAnsi="IBM Plex Sans"/>
        </w:rPr>
        <w:t xml:space="preserve"> en el tiempo, se registra como una nueva medida. Por ejemplo: la modificación de los horarios </w:t>
      </w:r>
      <w:r w:rsidRPr="003520BA">
        <w:rPr>
          <w:rFonts w:ascii="IBM Plex Sans" w:hAnsi="IBM Plex Sans"/>
        </w:rPr>
        <w:lastRenderedPageBreak/>
        <w:t>de la restricción vehicular. Cada modificación es una nueva medida en la base de datos.</w:t>
      </w:r>
    </w:p>
    <w:p w14:paraId="5E450163" w14:textId="2E6DF9D3" w:rsidR="00196E92" w:rsidRPr="003520BA" w:rsidRDefault="00196E92" w:rsidP="003520BA">
      <w:pPr>
        <w:pStyle w:val="Sinespaciado"/>
        <w:numPr>
          <w:ilvl w:val="0"/>
          <w:numId w:val="29"/>
        </w:numPr>
        <w:spacing w:after="240"/>
        <w:jc w:val="both"/>
        <w:rPr>
          <w:rFonts w:ascii="IBM Plex Sans" w:hAnsi="IBM Plex Sans"/>
        </w:rPr>
      </w:pPr>
      <w:r w:rsidRPr="003520BA">
        <w:rPr>
          <w:rFonts w:ascii="IBM Plex Sans" w:hAnsi="IBM Plex Sans"/>
        </w:rPr>
        <w:t xml:space="preserve">Si se amplía o </w:t>
      </w:r>
      <w:r w:rsidR="006E5C8C" w:rsidRPr="003520BA">
        <w:rPr>
          <w:rFonts w:ascii="IBM Plex Sans" w:hAnsi="IBM Plex Sans"/>
        </w:rPr>
        <w:t>se da una variación en</w:t>
      </w:r>
      <w:r w:rsidRPr="003520BA">
        <w:rPr>
          <w:rFonts w:ascii="IBM Plex Sans" w:hAnsi="IBM Plex Sans"/>
        </w:rPr>
        <w:t xml:space="preserve"> el plazo de una medida, per</w:t>
      </w:r>
      <w:r w:rsidR="006E5C8C" w:rsidRPr="003520BA">
        <w:rPr>
          <w:rFonts w:ascii="IBM Plex Sans" w:hAnsi="IBM Plex Sans"/>
        </w:rPr>
        <w:t xml:space="preserve">o la función, intención y características </w:t>
      </w:r>
      <w:r w:rsidRPr="003520BA">
        <w:rPr>
          <w:rFonts w:ascii="IBM Plex Sans" w:hAnsi="IBM Plex Sans"/>
        </w:rPr>
        <w:t>de la medida permanece</w:t>
      </w:r>
      <w:r w:rsidR="006E5C8C" w:rsidRPr="003520BA">
        <w:rPr>
          <w:rFonts w:ascii="IBM Plex Sans" w:hAnsi="IBM Plex Sans"/>
        </w:rPr>
        <w:t>n intactas</w:t>
      </w:r>
      <w:r w:rsidRPr="003520BA">
        <w:rPr>
          <w:rFonts w:ascii="IBM Plex Sans" w:hAnsi="IBM Plex Sans"/>
        </w:rPr>
        <w:t xml:space="preserve">, no se registra como una nueva medida. Por ejemplo: la entrega de paquetes de alimentos en diferentes fechas. En este caso, si se aumenta la cantidad de personas beneficiadas </w:t>
      </w:r>
      <w:r w:rsidR="006E5C8C" w:rsidRPr="003520BA">
        <w:rPr>
          <w:rFonts w:ascii="IBM Plex Sans" w:hAnsi="IBM Plex Sans"/>
        </w:rPr>
        <w:t>por</w:t>
      </w:r>
      <w:r w:rsidRPr="003520BA">
        <w:rPr>
          <w:rFonts w:ascii="IBM Plex Sans" w:hAnsi="IBM Plex Sans"/>
        </w:rPr>
        <w:t xml:space="preserve"> la entrega de paquetes de alimentos, se registra como una nueva medida.</w:t>
      </w:r>
    </w:p>
    <w:p w14:paraId="18532B14" w14:textId="1A63CEC2" w:rsidR="00196E92" w:rsidRPr="003520BA" w:rsidRDefault="00196E92" w:rsidP="003520BA">
      <w:pPr>
        <w:pStyle w:val="Sinespaciado"/>
        <w:numPr>
          <w:ilvl w:val="0"/>
          <w:numId w:val="29"/>
        </w:numPr>
        <w:spacing w:after="240"/>
        <w:jc w:val="both"/>
        <w:rPr>
          <w:rFonts w:ascii="IBM Plex Sans" w:hAnsi="IBM Plex Sans"/>
        </w:rPr>
      </w:pPr>
      <w:r w:rsidRPr="003520BA">
        <w:rPr>
          <w:rFonts w:ascii="IBM Plex Sans" w:hAnsi="IBM Plex Sans"/>
        </w:rPr>
        <w:t xml:space="preserve">Se tomó la decisión de que los cambios en las formas de atención al público y la virtualización de trámites de las instituciones públicas no se considerarán como medidas </w:t>
      </w:r>
      <w:proofErr w:type="gramStart"/>
      <w:r w:rsidRPr="003520BA">
        <w:rPr>
          <w:rFonts w:ascii="IBM Plex Sans" w:hAnsi="IBM Plex Sans"/>
        </w:rPr>
        <w:t>a</w:t>
      </w:r>
      <w:proofErr w:type="gramEnd"/>
      <w:r w:rsidRPr="003520BA">
        <w:rPr>
          <w:rFonts w:ascii="IBM Plex Sans" w:hAnsi="IBM Plex Sans"/>
        </w:rPr>
        <w:t xml:space="preserve"> incluir en la base de datos, porque trasciende </w:t>
      </w:r>
      <w:r w:rsidR="006E5C8C" w:rsidRPr="003520BA">
        <w:rPr>
          <w:rFonts w:ascii="IBM Plex Sans" w:hAnsi="IBM Plex Sans"/>
        </w:rPr>
        <w:t>la</w:t>
      </w:r>
      <w:r w:rsidRPr="003520BA">
        <w:rPr>
          <w:rFonts w:ascii="IBM Plex Sans" w:hAnsi="IBM Plex Sans"/>
        </w:rPr>
        <w:t xml:space="preserve"> trazabilidad </w:t>
      </w:r>
      <w:r w:rsidR="006E5C8C" w:rsidRPr="003520BA">
        <w:rPr>
          <w:rFonts w:ascii="IBM Plex Sans" w:hAnsi="IBM Plex Sans"/>
        </w:rPr>
        <w:t>y la capacidad de alcance de esta</w:t>
      </w:r>
      <w:r w:rsidRPr="003520BA">
        <w:rPr>
          <w:rFonts w:ascii="IBM Plex Sans" w:hAnsi="IBM Plex Sans"/>
        </w:rPr>
        <w:t>. Por ejemplo: COSEVI emite resolución sobre trámites de infracción de tránsito, devolución de vehículos, entre otros.</w:t>
      </w:r>
    </w:p>
    <w:p w14:paraId="49A85843" w14:textId="434EF5DA" w:rsidR="00196E92" w:rsidRDefault="00196E92" w:rsidP="003520BA">
      <w:pPr>
        <w:pStyle w:val="Sinespaciado"/>
        <w:numPr>
          <w:ilvl w:val="0"/>
          <w:numId w:val="29"/>
        </w:numPr>
        <w:spacing w:after="240"/>
        <w:jc w:val="both"/>
        <w:rPr>
          <w:rFonts w:ascii="IBM Plex Sans" w:hAnsi="IBM Plex Sans"/>
        </w:rPr>
      </w:pPr>
      <w:r w:rsidRPr="003520BA">
        <w:rPr>
          <w:rFonts w:ascii="IBM Plex Sans" w:hAnsi="IBM Plex Sans"/>
        </w:rPr>
        <w:t xml:space="preserve">Las reuniones, los anuncios y los reportes no son medidas. Por ejemplo: Ministro de Ciencia y Tecnología participa en encuentro mundial para buscar soluciones científicas y tecnológicas frente al COVID-19. O el equipo económico presenta nuevas medidas para </w:t>
      </w:r>
      <w:r w:rsidRPr="003520BA">
        <w:rPr>
          <w:rFonts w:ascii="IBM Plex Sans" w:hAnsi="IBM Plex Sans"/>
          <w:lang w:val="es-CR"/>
        </w:rPr>
        <w:t xml:space="preserve">combatir consecuencias </w:t>
      </w:r>
      <w:r w:rsidRPr="003520BA">
        <w:rPr>
          <w:rFonts w:ascii="IBM Plex Sans" w:hAnsi="IBM Plex Sans"/>
        </w:rPr>
        <w:t>del COVID-19.</w:t>
      </w:r>
    </w:p>
    <w:p w14:paraId="473A87D5" w14:textId="77777777" w:rsidR="003520BA" w:rsidRPr="003520BA" w:rsidRDefault="003520BA" w:rsidP="003520BA">
      <w:pPr>
        <w:pStyle w:val="Sinespaciado"/>
        <w:jc w:val="both"/>
        <w:rPr>
          <w:rFonts w:ascii="IBM Plex Sans" w:hAnsi="IBM Plex Sans"/>
        </w:rPr>
      </w:pPr>
    </w:p>
    <w:p w14:paraId="368C9135" w14:textId="6D8703D5" w:rsidR="00E077BE" w:rsidRPr="003520BA" w:rsidRDefault="00E077BE" w:rsidP="003520BA">
      <w:pPr>
        <w:pStyle w:val="Ttulo1"/>
        <w:spacing w:after="240"/>
        <w:jc w:val="both"/>
        <w:rPr>
          <w:rFonts w:ascii="IBM Plex Sans" w:hAnsi="IBM Plex Sans"/>
        </w:rPr>
      </w:pPr>
      <w:bookmarkStart w:id="4" w:name="_Toc86615274"/>
      <w:r w:rsidRPr="003520BA">
        <w:rPr>
          <w:rFonts w:ascii="IBM Plex Sans" w:hAnsi="IBM Plex Sans"/>
        </w:rPr>
        <w:t>II</w:t>
      </w:r>
      <w:r w:rsidR="00092CDA" w:rsidRPr="003520BA">
        <w:rPr>
          <w:rFonts w:ascii="IBM Plex Sans" w:hAnsi="IBM Plex Sans"/>
        </w:rPr>
        <w:t>I</w:t>
      </w:r>
      <w:r w:rsidRPr="003520BA">
        <w:rPr>
          <w:rFonts w:ascii="IBM Plex Sans" w:hAnsi="IBM Plex Sans"/>
        </w:rPr>
        <w:t>. Respaldo de medidas del Estado costarricense como respuesta al COVID-19</w:t>
      </w:r>
      <w:bookmarkEnd w:id="4"/>
    </w:p>
    <w:p w14:paraId="49AB7372" w14:textId="77777777" w:rsidR="00E077BE" w:rsidRPr="003520BA" w:rsidRDefault="00E077BE" w:rsidP="003520BA">
      <w:pPr>
        <w:pStyle w:val="Sinespaciado"/>
        <w:spacing w:after="240"/>
        <w:jc w:val="both"/>
        <w:rPr>
          <w:rFonts w:ascii="IBM Plex Sans" w:hAnsi="IBM Plex Sans"/>
        </w:rPr>
      </w:pPr>
      <w:r w:rsidRPr="003520BA">
        <w:rPr>
          <w:rFonts w:ascii="IBM Plex Sans" w:hAnsi="IBM Plex Sans"/>
        </w:rPr>
        <w:t>La fuente de información de este instrumento son los documentos oficiales (leyes, decretos, directrices, convenios, acuerdos, resoluciones, lineamientos, protocolos, informes, oficios, circulares y comunicados) que fundamentan las medidas emitidas por las instituciones públicas para atender la emergencia y los efectos generados por el COVID-19 en el país.</w:t>
      </w:r>
    </w:p>
    <w:p w14:paraId="5178CA68" w14:textId="1B7046A4" w:rsidR="00E077BE" w:rsidRPr="003520BA" w:rsidRDefault="00E077BE" w:rsidP="003520BA">
      <w:pPr>
        <w:pStyle w:val="Sinespaciado"/>
        <w:spacing w:after="240"/>
        <w:jc w:val="both"/>
        <w:rPr>
          <w:rFonts w:ascii="IBM Plex Sans" w:hAnsi="IBM Plex Sans"/>
        </w:rPr>
      </w:pPr>
      <w:r w:rsidRPr="003520BA">
        <w:rPr>
          <w:rFonts w:ascii="IBM Plex Sans" w:hAnsi="IBM Plex Sans"/>
          <w:lang w:val="es-ES"/>
        </w:rPr>
        <w:t xml:space="preserve">La recolección de </w:t>
      </w:r>
      <w:r w:rsidR="00FB02BC" w:rsidRPr="003520BA">
        <w:rPr>
          <w:rFonts w:ascii="IBM Plex Sans" w:hAnsi="IBM Plex Sans"/>
        </w:rPr>
        <w:t xml:space="preserve">los documentos oficiales </w:t>
      </w:r>
      <w:r w:rsidRPr="003520BA">
        <w:rPr>
          <w:rFonts w:ascii="IBM Plex Sans" w:hAnsi="IBM Plex Sans"/>
          <w:lang w:val="es-ES"/>
        </w:rPr>
        <w:t>de las instituciones públicas se realiza exclusivamente con el fin de asegurar la adecuada prestación de servicios públicos, así como la eficaz actividad ordinaria de la Administración, por parte de las autoridades oficiales.</w:t>
      </w:r>
    </w:p>
    <w:p w14:paraId="21F9EA80" w14:textId="43AEEF16" w:rsidR="00E077BE" w:rsidRPr="003520BA" w:rsidRDefault="00E077BE" w:rsidP="003520BA">
      <w:pPr>
        <w:pStyle w:val="Sinespaciado"/>
        <w:spacing w:after="240"/>
        <w:jc w:val="both"/>
        <w:rPr>
          <w:rFonts w:ascii="IBM Plex Sans" w:hAnsi="IBM Plex Sans"/>
        </w:rPr>
      </w:pPr>
      <w:r w:rsidRPr="003520BA">
        <w:rPr>
          <w:rFonts w:ascii="IBM Plex Sans" w:hAnsi="IBM Plex Sans"/>
          <w:lang w:val="es-ES"/>
        </w:rPr>
        <w:t>En este proceso, únicamente se solicitarán documentos oficiales públicos y datos de registro de las instituciones que sean públicos, anónimos y agregados (globales) con fines de seguimiento, estadísticos y de investigación académica. No se solicitará</w:t>
      </w:r>
      <w:r w:rsidR="00FB02BC" w:rsidRPr="003520BA">
        <w:rPr>
          <w:rFonts w:ascii="IBM Plex Sans" w:hAnsi="IBM Plex Sans"/>
          <w:lang w:val="es-ES"/>
        </w:rPr>
        <w:t xml:space="preserve"> información personal</w:t>
      </w:r>
      <w:r w:rsidRPr="003520BA">
        <w:rPr>
          <w:rFonts w:ascii="IBM Plex Sans" w:hAnsi="IBM Plex Sans"/>
          <w:lang w:val="es-ES"/>
        </w:rPr>
        <w:t xml:space="preserve"> ni datos sobre la salud de las personas contagiadas con Covid-19.</w:t>
      </w:r>
    </w:p>
    <w:p w14:paraId="0BA5E780" w14:textId="77777777" w:rsidR="00E077BE" w:rsidRPr="003520BA" w:rsidRDefault="00E077BE" w:rsidP="003520BA">
      <w:pPr>
        <w:pStyle w:val="Sinespaciado"/>
        <w:spacing w:after="240"/>
        <w:jc w:val="both"/>
        <w:rPr>
          <w:rFonts w:ascii="IBM Plex Sans" w:hAnsi="IBM Plex Sans"/>
        </w:rPr>
      </w:pPr>
      <w:r w:rsidRPr="003520BA">
        <w:rPr>
          <w:rFonts w:ascii="IBM Plex Sans" w:hAnsi="IBM Plex Sans"/>
        </w:rPr>
        <w:t>El o la investigadora a cargo de los respaldos de las medidas del Estado costarricense como respuesta ante COVID-19, debe de realizar las siguientes tareas:</w:t>
      </w:r>
    </w:p>
    <w:p w14:paraId="76AED969" w14:textId="0306CC89" w:rsidR="00E077BE" w:rsidRPr="003520BA" w:rsidRDefault="00E077BE" w:rsidP="003520BA">
      <w:pPr>
        <w:pStyle w:val="Sinespaciado"/>
        <w:numPr>
          <w:ilvl w:val="0"/>
          <w:numId w:val="30"/>
        </w:numPr>
        <w:spacing w:after="240"/>
        <w:jc w:val="both"/>
        <w:rPr>
          <w:rFonts w:ascii="IBM Plex Sans" w:hAnsi="IBM Plex Sans"/>
        </w:rPr>
      </w:pPr>
      <w:r w:rsidRPr="003520BA">
        <w:rPr>
          <w:rFonts w:ascii="IBM Plex Sans" w:hAnsi="IBM Plex Sans"/>
        </w:rPr>
        <w:t xml:space="preserve">Encontrar los documentos oficiales </w:t>
      </w:r>
      <w:r w:rsidR="00AE23C1" w:rsidRPr="003520BA">
        <w:rPr>
          <w:rFonts w:ascii="IBM Plex Sans" w:hAnsi="IBM Plex Sans"/>
        </w:rPr>
        <w:t xml:space="preserve">(leyes, decretos, directrices, convenios, acuerdos, resoluciones, lineamientos, protocolos, informes, oficios, circulares y comunicados) </w:t>
      </w:r>
      <w:r w:rsidRPr="003520BA">
        <w:rPr>
          <w:rFonts w:ascii="IBM Plex Sans" w:hAnsi="IBM Plex Sans"/>
        </w:rPr>
        <w:t>que fundamentan las medidas de las instituciones públicas.</w:t>
      </w:r>
    </w:p>
    <w:p w14:paraId="2CD78F07" w14:textId="2B1FE300" w:rsidR="00E077BE" w:rsidRPr="003520BA" w:rsidRDefault="00E077BE" w:rsidP="003520BA">
      <w:pPr>
        <w:pStyle w:val="Sinespaciado"/>
        <w:numPr>
          <w:ilvl w:val="0"/>
          <w:numId w:val="30"/>
        </w:numPr>
        <w:spacing w:after="240"/>
        <w:jc w:val="both"/>
        <w:rPr>
          <w:rFonts w:ascii="IBM Plex Sans" w:hAnsi="IBM Plex Sans"/>
        </w:rPr>
      </w:pPr>
      <w:r w:rsidRPr="003520BA">
        <w:rPr>
          <w:rFonts w:ascii="IBM Plex Sans" w:hAnsi="IBM Plex Sans"/>
        </w:rPr>
        <w:lastRenderedPageBreak/>
        <w:t>Respaldar los documentos oficiales en la carpeta</w:t>
      </w:r>
      <w:r w:rsidR="003B627D" w:rsidRPr="003520BA">
        <w:rPr>
          <w:rFonts w:ascii="IBM Plex Sans" w:hAnsi="IBM Plex Sans"/>
        </w:rPr>
        <w:t xml:space="preserve"> “Respaldos” de Dropbox</w:t>
      </w:r>
      <w:r w:rsidRPr="003520BA">
        <w:rPr>
          <w:rFonts w:ascii="IBM Plex Sans" w:hAnsi="IBM Plex Sans"/>
        </w:rPr>
        <w:t>.</w:t>
      </w:r>
    </w:p>
    <w:p w14:paraId="6496B903" w14:textId="77777777" w:rsidR="00E077BE" w:rsidRPr="003520BA" w:rsidRDefault="00E077BE" w:rsidP="003520BA">
      <w:pPr>
        <w:pStyle w:val="Sinespaciado"/>
        <w:numPr>
          <w:ilvl w:val="0"/>
          <w:numId w:val="30"/>
        </w:numPr>
        <w:spacing w:after="240"/>
        <w:jc w:val="both"/>
        <w:rPr>
          <w:rFonts w:ascii="IBM Plex Sans" w:hAnsi="IBM Plex Sans"/>
        </w:rPr>
      </w:pPr>
      <w:r w:rsidRPr="003520BA">
        <w:rPr>
          <w:rFonts w:ascii="IBM Plex Sans" w:hAnsi="IBM Plex Sans"/>
        </w:rPr>
        <w:t>Los documentos oficiales llevarán como nombre el identificador de la norma (ver variable 2).</w:t>
      </w:r>
    </w:p>
    <w:p w14:paraId="1609871D" w14:textId="77777777" w:rsidR="00E077BE" w:rsidRPr="003520BA" w:rsidRDefault="00E077BE" w:rsidP="003520BA">
      <w:pPr>
        <w:pStyle w:val="Sinespaciado"/>
        <w:jc w:val="both"/>
        <w:rPr>
          <w:rFonts w:ascii="IBM Plex Sans" w:hAnsi="IBM Plex Sans"/>
        </w:rPr>
      </w:pPr>
    </w:p>
    <w:p w14:paraId="069127CC" w14:textId="601861E7" w:rsidR="00E077BE" w:rsidRPr="003520BA" w:rsidRDefault="00E077BE" w:rsidP="003520BA">
      <w:pPr>
        <w:pStyle w:val="Ttulo1"/>
        <w:spacing w:after="240"/>
        <w:rPr>
          <w:rFonts w:ascii="IBM Plex Sans" w:hAnsi="IBM Plex Sans"/>
        </w:rPr>
      </w:pPr>
      <w:bookmarkStart w:id="5" w:name="_Toc86615275"/>
      <w:r w:rsidRPr="003520BA">
        <w:rPr>
          <w:rFonts w:ascii="IBM Plex Sans" w:hAnsi="IBM Plex Sans"/>
        </w:rPr>
        <w:t>I</w:t>
      </w:r>
      <w:r w:rsidR="00760835" w:rsidRPr="003520BA">
        <w:rPr>
          <w:rFonts w:ascii="IBM Plex Sans" w:hAnsi="IBM Plex Sans"/>
        </w:rPr>
        <w:t>V</w:t>
      </w:r>
      <w:r w:rsidRPr="003520BA">
        <w:rPr>
          <w:rFonts w:ascii="IBM Plex Sans" w:hAnsi="IBM Plex Sans"/>
        </w:rPr>
        <w:t>. Variables</w:t>
      </w:r>
      <w:bookmarkEnd w:id="5"/>
    </w:p>
    <w:p w14:paraId="22549006" w14:textId="6FAAFC23" w:rsidR="002375C4" w:rsidRPr="003520BA" w:rsidRDefault="002375C4" w:rsidP="003520BA">
      <w:pPr>
        <w:pStyle w:val="Sinespaciado"/>
        <w:spacing w:after="240"/>
        <w:jc w:val="both"/>
        <w:rPr>
          <w:rFonts w:ascii="IBM Plex Sans" w:hAnsi="IBM Plex Sans"/>
        </w:rPr>
      </w:pPr>
      <w:r w:rsidRPr="003520BA">
        <w:rPr>
          <w:rFonts w:ascii="IBM Plex Sans" w:hAnsi="IBM Plex Sans"/>
        </w:rPr>
        <w:t>En este apartado se detallan las variables y categorías para el análisis de las medidas adoptadas por el Estado costarricense como respuesta ante la emergencia generada por el COVID-19.</w:t>
      </w:r>
    </w:p>
    <w:p w14:paraId="6E125B9F" w14:textId="77777777" w:rsidR="003520BA" w:rsidRPr="003520BA" w:rsidRDefault="00E077BE" w:rsidP="003520BA">
      <w:pPr>
        <w:pStyle w:val="Ttulo2"/>
        <w:rPr>
          <w:rFonts w:ascii="IBM Plex Sans" w:hAnsi="IBM Plex Sans"/>
        </w:rPr>
      </w:pPr>
      <w:bookmarkStart w:id="6" w:name="_Toc86615276"/>
      <w:r w:rsidRPr="003520BA">
        <w:rPr>
          <w:rFonts w:ascii="IBM Plex Sans" w:hAnsi="IBM Plex Sans"/>
        </w:rPr>
        <w:t>1.</w:t>
      </w:r>
      <w:r w:rsidR="003709BA" w:rsidRPr="003520BA">
        <w:rPr>
          <w:rFonts w:ascii="IBM Plex Sans" w:hAnsi="IBM Plex Sans"/>
        </w:rPr>
        <w:t xml:space="preserve"> Consecutivo medida</w:t>
      </w:r>
      <w:r w:rsidRPr="003520BA">
        <w:rPr>
          <w:rFonts w:ascii="IBM Plex Sans" w:hAnsi="IBM Plex Sans"/>
        </w:rPr>
        <w:t xml:space="preserve"> (ID</w:t>
      </w:r>
      <w:r w:rsidR="003709BA" w:rsidRPr="003520BA">
        <w:rPr>
          <w:rFonts w:ascii="IBM Plex Sans" w:hAnsi="IBM Plex Sans"/>
        </w:rPr>
        <w:t>_medida</w:t>
      </w:r>
      <w:r w:rsidRPr="003520BA">
        <w:rPr>
          <w:rFonts w:ascii="IBM Plex Sans" w:hAnsi="IBM Plex Sans"/>
        </w:rPr>
        <w:t>)</w:t>
      </w:r>
      <w:bookmarkEnd w:id="6"/>
    </w:p>
    <w:p w14:paraId="53967CBD" w14:textId="10FA516C" w:rsidR="00E077BE" w:rsidRPr="003520BA" w:rsidRDefault="00E077BE" w:rsidP="003520BA">
      <w:pPr>
        <w:pStyle w:val="Sinespaciado"/>
        <w:spacing w:after="240"/>
        <w:jc w:val="both"/>
        <w:rPr>
          <w:rFonts w:ascii="IBM Plex Sans" w:hAnsi="IBM Plex Sans"/>
          <w:b/>
          <w:bCs/>
          <w:lang w:val="es-CR"/>
        </w:rPr>
      </w:pPr>
      <w:r w:rsidRPr="003520BA">
        <w:rPr>
          <w:rFonts w:ascii="IBM Plex Sans" w:hAnsi="IBM Plex Sans"/>
          <w:lang w:val="es-CR"/>
        </w:rPr>
        <w:t xml:space="preserve">Se indica </w:t>
      </w:r>
      <w:r w:rsidR="003709BA" w:rsidRPr="003520BA">
        <w:rPr>
          <w:rFonts w:ascii="IBM Plex Sans" w:hAnsi="IBM Plex Sans"/>
          <w:lang w:val="es-CR"/>
        </w:rPr>
        <w:t>un número consecutivo a cada medida de la base de datos, iniciando con el número uno (1).</w:t>
      </w:r>
    </w:p>
    <w:p w14:paraId="4945C9D8" w14:textId="77777777" w:rsidR="003520BA" w:rsidRPr="003520BA" w:rsidRDefault="00E077BE" w:rsidP="003520BA">
      <w:pPr>
        <w:pStyle w:val="Ttulo2"/>
        <w:rPr>
          <w:rFonts w:ascii="IBM Plex Sans" w:hAnsi="IBM Plex Sans"/>
        </w:rPr>
      </w:pPr>
      <w:bookmarkStart w:id="7" w:name="_Toc86615277"/>
      <w:r w:rsidRPr="003520BA">
        <w:rPr>
          <w:rFonts w:ascii="IBM Plex Sans" w:hAnsi="IBM Plex Sans"/>
        </w:rPr>
        <w:t>2. Identificador de la norma (ID_norma)</w:t>
      </w:r>
      <w:bookmarkEnd w:id="7"/>
    </w:p>
    <w:p w14:paraId="4F3C3414" w14:textId="1239AA45" w:rsidR="00E077BE" w:rsidRPr="003520BA" w:rsidRDefault="00E077BE" w:rsidP="003520BA">
      <w:pPr>
        <w:pStyle w:val="Sinespaciado"/>
        <w:spacing w:after="240"/>
        <w:jc w:val="both"/>
        <w:rPr>
          <w:rFonts w:ascii="IBM Plex Sans" w:hAnsi="IBM Plex Sans"/>
          <w:lang w:val="es-CR"/>
        </w:rPr>
      </w:pPr>
      <w:r w:rsidRPr="003520BA">
        <w:rPr>
          <w:rFonts w:ascii="IBM Plex Sans" w:hAnsi="IBM Plex Sans"/>
          <w:lang w:val="es-CR"/>
        </w:rPr>
        <w:t>Se indica un número consecutivo a cada norma, iniciando con el número uno (1).</w:t>
      </w:r>
    </w:p>
    <w:p w14:paraId="77DDEFE4" w14:textId="77777777" w:rsidR="003520BA" w:rsidRPr="003520BA" w:rsidRDefault="006C1E44" w:rsidP="003520BA">
      <w:pPr>
        <w:pStyle w:val="Ttulo2"/>
        <w:rPr>
          <w:rFonts w:ascii="IBM Plex Sans" w:hAnsi="IBM Plex Sans"/>
        </w:rPr>
      </w:pPr>
      <w:bookmarkStart w:id="8" w:name="_Toc86615278"/>
      <w:r w:rsidRPr="003520BA">
        <w:rPr>
          <w:rFonts w:ascii="IBM Plex Sans" w:hAnsi="IBM Plex Sans"/>
        </w:rPr>
        <w:t>3</w:t>
      </w:r>
      <w:r w:rsidR="00E077BE" w:rsidRPr="003520BA">
        <w:rPr>
          <w:rFonts w:ascii="IBM Plex Sans" w:hAnsi="IBM Plex Sans"/>
        </w:rPr>
        <w:t>. Tipo de documento (norma)</w:t>
      </w:r>
      <w:bookmarkEnd w:id="8"/>
    </w:p>
    <w:p w14:paraId="3F1901D3" w14:textId="702C8B03" w:rsidR="00F53885" w:rsidRPr="003520BA" w:rsidRDefault="00E077BE" w:rsidP="003520BA">
      <w:pPr>
        <w:pStyle w:val="Sinespaciado"/>
        <w:spacing w:after="240"/>
        <w:jc w:val="both"/>
        <w:rPr>
          <w:rFonts w:ascii="IBM Plex Sans" w:hAnsi="IBM Plex Sans"/>
        </w:rPr>
      </w:pPr>
      <w:r w:rsidRPr="003520BA">
        <w:rPr>
          <w:rFonts w:ascii="IBM Plex Sans" w:hAnsi="IBM Plex Sans"/>
          <w:lang w:val="es-CR"/>
        </w:rPr>
        <w:t>Se especifica el medio por el que se emite la medida.</w:t>
      </w:r>
      <w:r w:rsidR="00092CDA" w:rsidRPr="003520BA">
        <w:rPr>
          <w:rFonts w:ascii="IBM Plex Sans" w:hAnsi="IBM Plex Sans"/>
          <w:lang w:val="es-CR"/>
        </w:rPr>
        <w:t xml:space="preserve"> </w:t>
      </w:r>
      <w:r w:rsidR="00092CDA" w:rsidRPr="003520BA">
        <w:rPr>
          <w:rFonts w:ascii="IBM Plex Sans" w:hAnsi="IBM Plex Sans"/>
        </w:rPr>
        <w:t xml:space="preserve">Es </w:t>
      </w:r>
      <w:r w:rsidR="00092CDA" w:rsidRPr="003520BA">
        <w:rPr>
          <w:rFonts w:ascii="IBM Plex Sans" w:hAnsi="IBM Plex Sans"/>
          <w:lang w:val="es-CR"/>
        </w:rPr>
        <w:t>importante aclarar</w:t>
      </w:r>
      <w:r w:rsidR="00092CDA" w:rsidRPr="003520BA">
        <w:rPr>
          <w:rFonts w:ascii="IBM Plex Sans" w:hAnsi="IBM Plex Sans"/>
        </w:rPr>
        <w:t xml:space="preserve"> que el investigador o la investigadora</w:t>
      </w:r>
      <w:r w:rsidR="00441CC1" w:rsidRPr="003520BA">
        <w:rPr>
          <w:rFonts w:ascii="IBM Plex Sans" w:hAnsi="IBM Plex Sans"/>
        </w:rPr>
        <w:t xml:space="preserve"> </w:t>
      </w:r>
      <w:r w:rsidR="00F14A78" w:rsidRPr="003520BA">
        <w:rPr>
          <w:rFonts w:ascii="IBM Plex Sans" w:hAnsi="IBM Plex Sans"/>
        </w:rPr>
        <w:t xml:space="preserve">debe registrar </w:t>
      </w:r>
      <w:r w:rsidR="00441CC1" w:rsidRPr="003520BA">
        <w:rPr>
          <w:rFonts w:ascii="IBM Plex Sans" w:hAnsi="IBM Plex Sans"/>
        </w:rPr>
        <w:t>en la base de datos</w:t>
      </w:r>
      <w:r w:rsidR="00F717FC" w:rsidRPr="003520BA">
        <w:rPr>
          <w:rFonts w:ascii="IBM Plex Sans" w:hAnsi="IBM Plex Sans"/>
        </w:rPr>
        <w:t>,</w:t>
      </w:r>
      <w:r w:rsidR="00441CC1" w:rsidRPr="003520BA">
        <w:rPr>
          <w:rFonts w:ascii="IBM Plex Sans" w:hAnsi="IBM Plex Sans"/>
        </w:rPr>
        <w:t xml:space="preserve"> </w:t>
      </w:r>
      <w:r w:rsidR="00F14A78" w:rsidRPr="003520BA">
        <w:rPr>
          <w:rFonts w:ascii="IBM Plex Sans" w:hAnsi="IBM Plex Sans"/>
        </w:rPr>
        <w:t>las categorías que aparecen en la columna izquierda (</w:t>
      </w:r>
      <w:r w:rsidR="00441CC1" w:rsidRPr="003520BA">
        <w:rPr>
          <w:rFonts w:ascii="IBM Plex Sans" w:hAnsi="IBM Plex Sans"/>
        </w:rPr>
        <w:t>de</w:t>
      </w:r>
      <w:r w:rsidR="00F14A78" w:rsidRPr="003520BA">
        <w:rPr>
          <w:rFonts w:ascii="IBM Plex Sans" w:hAnsi="IBM Plex Sans"/>
        </w:rPr>
        <w:t xml:space="preserve"> color azul</w:t>
      </w:r>
      <w:r w:rsidR="003B627D" w:rsidRPr="003520BA">
        <w:rPr>
          <w:rFonts w:ascii="IBM Plex Sans" w:hAnsi="IBM Plex Sans"/>
        </w:rPr>
        <w:t xml:space="preserve"> oscuro</w:t>
      </w:r>
      <w:r w:rsidR="00F14A78" w:rsidRPr="003520BA">
        <w:rPr>
          <w:rFonts w:ascii="IBM Plex Sans" w:hAnsi="IBM Plex Sans"/>
        </w:rPr>
        <w:t>)</w:t>
      </w:r>
      <w:r w:rsidR="009D77C2" w:rsidRPr="003520BA">
        <w:rPr>
          <w:rFonts w:ascii="IBM Plex Sans" w:hAnsi="IBM Plex Sans"/>
        </w:rPr>
        <w:t xml:space="preserve"> del cuadro 1</w:t>
      </w:r>
      <w:r w:rsidR="00F14A78" w:rsidRPr="003520BA">
        <w:rPr>
          <w:rFonts w:ascii="IBM Plex Sans" w:hAnsi="IBM Plex Sans"/>
        </w:rPr>
        <w:t>.</w:t>
      </w:r>
    </w:p>
    <w:p w14:paraId="6C5C5B34" w14:textId="353B20C5" w:rsidR="009D77C2" w:rsidRPr="003520BA" w:rsidRDefault="009D77C2" w:rsidP="003520BA">
      <w:pPr>
        <w:spacing w:after="0" w:line="360" w:lineRule="auto"/>
        <w:jc w:val="both"/>
        <w:rPr>
          <w:rFonts w:ascii="IBM Plex Sans Light" w:hAnsi="IBM Plex Sans Light" w:cs="Arial"/>
          <w:b/>
          <w:bCs/>
        </w:rPr>
      </w:pPr>
      <w:r w:rsidRPr="003520BA">
        <w:rPr>
          <w:rFonts w:ascii="IBM Plex Sans Light" w:hAnsi="IBM Plex Sans Light" w:cs="Arial"/>
          <w:b/>
          <w:bCs/>
        </w:rPr>
        <w:t>Cuadro 1. Tipo de documento.</w:t>
      </w:r>
    </w:p>
    <w:tbl>
      <w:tblPr>
        <w:tblStyle w:val="Tablaconcuadrcula5oscura-nfasis1"/>
        <w:tblW w:w="0" w:type="auto"/>
        <w:jc w:val="center"/>
        <w:tblLook w:val="04A0" w:firstRow="1" w:lastRow="0" w:firstColumn="1" w:lastColumn="0" w:noHBand="0" w:noVBand="1"/>
      </w:tblPr>
      <w:tblGrid>
        <w:gridCol w:w="2547"/>
        <w:gridCol w:w="5947"/>
      </w:tblGrid>
      <w:tr w:rsidR="00485D4E" w:rsidRPr="001836FE" w14:paraId="59CCE1D8" w14:textId="77777777" w:rsidTr="00485D4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Borders>
              <w:bottom w:val="single" w:sz="4" w:space="0" w:color="FFFFFF" w:themeColor="background1"/>
            </w:tcBorders>
            <w:shd w:val="clear" w:color="auto" w:fill="002060"/>
            <w:hideMark/>
          </w:tcPr>
          <w:p w14:paraId="1B9CDA28" w14:textId="77777777" w:rsidR="00485D4E" w:rsidRPr="00AF777B" w:rsidRDefault="00485D4E" w:rsidP="00AF777B">
            <w:pPr>
              <w:pStyle w:val="Sinespaciado"/>
              <w:jc w:val="both"/>
              <w:rPr>
                <w:rFonts w:ascii="IBM Plex Sans" w:hAnsi="IBM Plex Sans"/>
                <w:sz w:val="20"/>
                <w:szCs w:val="20"/>
              </w:rPr>
            </w:pPr>
            <w:r w:rsidRPr="00AF777B">
              <w:rPr>
                <w:rFonts w:ascii="IBM Plex Sans" w:hAnsi="IBM Plex Sans"/>
                <w:sz w:val="20"/>
                <w:szCs w:val="20"/>
              </w:rPr>
              <w:t>Tipo de documento</w:t>
            </w:r>
          </w:p>
        </w:tc>
        <w:tc>
          <w:tcPr>
            <w:tcW w:w="5947" w:type="dxa"/>
            <w:tcBorders>
              <w:bottom w:val="single" w:sz="4" w:space="0" w:color="FFFFFF" w:themeColor="background1"/>
            </w:tcBorders>
            <w:shd w:val="clear" w:color="auto" w:fill="002060"/>
            <w:hideMark/>
          </w:tcPr>
          <w:p w14:paraId="6B69ED98" w14:textId="77777777" w:rsidR="00485D4E" w:rsidRPr="00AF777B" w:rsidRDefault="00485D4E" w:rsidP="00AF777B">
            <w:pPr>
              <w:pStyle w:val="Sinespaciado"/>
              <w:jc w:val="both"/>
              <w:cnfStyle w:val="100000000000" w:firstRow="1" w:lastRow="0" w:firstColumn="0" w:lastColumn="0" w:oddVBand="0" w:evenVBand="0" w:oddHBand="0" w:evenHBand="0" w:firstRowFirstColumn="0" w:firstRowLastColumn="0" w:lastRowFirstColumn="0" w:lastRowLastColumn="0"/>
              <w:rPr>
                <w:rFonts w:ascii="IBM Plex Sans" w:hAnsi="IBM Plex Sans"/>
                <w:sz w:val="20"/>
                <w:szCs w:val="20"/>
              </w:rPr>
            </w:pPr>
            <w:r w:rsidRPr="00AF777B">
              <w:rPr>
                <w:rFonts w:ascii="IBM Plex Sans" w:hAnsi="IBM Plex Sans"/>
                <w:sz w:val="20"/>
                <w:szCs w:val="20"/>
              </w:rPr>
              <w:t>Definición del tipo de documento</w:t>
            </w:r>
          </w:p>
        </w:tc>
      </w:tr>
      <w:tr w:rsidR="00485D4E" w:rsidRPr="001836FE" w14:paraId="4ABCC558" w14:textId="77777777" w:rsidTr="00485D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FFFFFF" w:themeColor="background1"/>
              <w:bottom w:val="single" w:sz="4" w:space="0" w:color="FFFFFF" w:themeColor="background1"/>
              <w:right w:val="single" w:sz="4" w:space="0" w:color="FFFFFF" w:themeColor="background1"/>
            </w:tcBorders>
            <w:shd w:val="clear" w:color="auto" w:fill="002060"/>
            <w:hideMark/>
          </w:tcPr>
          <w:p w14:paraId="2400FE9A" w14:textId="77777777" w:rsidR="00485D4E" w:rsidRPr="00AF777B" w:rsidRDefault="00485D4E" w:rsidP="00AF777B">
            <w:pPr>
              <w:pStyle w:val="Sinespaciado"/>
              <w:jc w:val="both"/>
              <w:rPr>
                <w:rFonts w:ascii="IBM Plex Sans" w:hAnsi="IBM Plex Sans"/>
                <w:sz w:val="20"/>
                <w:szCs w:val="20"/>
              </w:rPr>
            </w:pPr>
            <w:r w:rsidRPr="00AF777B">
              <w:rPr>
                <w:rFonts w:ascii="IBM Plex Sans" w:hAnsi="IBM Plex Sans"/>
                <w:sz w:val="20"/>
                <w:szCs w:val="20"/>
              </w:rPr>
              <w:t>Ley</w:t>
            </w:r>
          </w:p>
        </w:tc>
        <w:tc>
          <w:tcPr>
            <w:tcW w:w="59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5341955" w14:textId="77777777" w:rsidR="00485D4E" w:rsidRPr="00AF777B" w:rsidRDefault="00485D4E" w:rsidP="00AF777B">
            <w:pPr>
              <w:pStyle w:val="Sinespaciado"/>
              <w:jc w:val="both"/>
              <w:cnfStyle w:val="000000100000" w:firstRow="0" w:lastRow="0" w:firstColumn="0" w:lastColumn="0" w:oddVBand="0" w:evenVBand="0" w:oddHBand="1" w:evenHBand="0" w:firstRowFirstColumn="0" w:firstRowLastColumn="0" w:lastRowFirstColumn="0" w:lastRowLastColumn="0"/>
              <w:rPr>
                <w:rFonts w:ascii="IBM Plex Sans" w:hAnsi="IBM Plex Sans"/>
                <w:sz w:val="20"/>
                <w:szCs w:val="20"/>
              </w:rPr>
            </w:pPr>
            <w:r w:rsidRPr="00AF777B">
              <w:rPr>
                <w:rFonts w:ascii="IBM Plex Sans" w:hAnsi="IBM Plex Sans"/>
                <w:sz w:val="20"/>
                <w:szCs w:val="20"/>
              </w:rPr>
              <w:t>Disposición jurídica de carácter general, dictada por el Poder Legislativo para ordenar las relaciones sociales, políticas y económicas dentro de un Estado.</w:t>
            </w:r>
          </w:p>
        </w:tc>
      </w:tr>
      <w:tr w:rsidR="00485D4E" w:rsidRPr="001836FE" w14:paraId="429F7B8A" w14:textId="77777777" w:rsidTr="00485D4E">
        <w:trPr>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FFFFFF" w:themeColor="background1"/>
              <w:bottom w:val="single" w:sz="4" w:space="0" w:color="FFFFFF" w:themeColor="background1"/>
              <w:right w:val="single" w:sz="4" w:space="0" w:color="FFFFFF" w:themeColor="background1"/>
            </w:tcBorders>
            <w:shd w:val="clear" w:color="auto" w:fill="002060"/>
            <w:hideMark/>
          </w:tcPr>
          <w:p w14:paraId="46EB9749" w14:textId="77777777" w:rsidR="00485D4E" w:rsidRPr="00AF777B" w:rsidRDefault="00485D4E" w:rsidP="00AF777B">
            <w:pPr>
              <w:pStyle w:val="Sinespaciado"/>
              <w:jc w:val="both"/>
              <w:rPr>
                <w:rFonts w:ascii="IBM Plex Sans" w:hAnsi="IBM Plex Sans"/>
                <w:sz w:val="20"/>
                <w:szCs w:val="20"/>
              </w:rPr>
            </w:pPr>
            <w:r w:rsidRPr="00AF777B">
              <w:rPr>
                <w:rFonts w:ascii="IBM Plex Sans" w:hAnsi="IBM Plex Sans"/>
                <w:sz w:val="20"/>
                <w:szCs w:val="20"/>
              </w:rPr>
              <w:t>Decreto</w:t>
            </w:r>
          </w:p>
        </w:tc>
        <w:tc>
          <w:tcPr>
            <w:tcW w:w="59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717AEF3" w14:textId="77777777" w:rsidR="00485D4E" w:rsidRPr="00AF777B" w:rsidRDefault="00485D4E" w:rsidP="00AF777B">
            <w:pPr>
              <w:pStyle w:val="Sinespaciado"/>
              <w:jc w:val="both"/>
              <w:cnfStyle w:val="000000000000" w:firstRow="0" w:lastRow="0" w:firstColumn="0" w:lastColumn="0" w:oddVBand="0" w:evenVBand="0" w:oddHBand="0" w:evenHBand="0" w:firstRowFirstColumn="0" w:firstRowLastColumn="0" w:lastRowFirstColumn="0" w:lastRowLastColumn="0"/>
              <w:rPr>
                <w:rFonts w:ascii="IBM Plex Sans" w:hAnsi="IBM Plex Sans"/>
                <w:sz w:val="20"/>
                <w:szCs w:val="20"/>
              </w:rPr>
            </w:pPr>
            <w:r w:rsidRPr="00AF777B">
              <w:rPr>
                <w:rFonts w:ascii="IBM Plex Sans" w:hAnsi="IBM Plex Sans"/>
                <w:sz w:val="20"/>
                <w:szCs w:val="20"/>
              </w:rPr>
              <w:t>Instrumento de gestión política emitido por el Poder Ejecutivo.</w:t>
            </w:r>
          </w:p>
        </w:tc>
      </w:tr>
      <w:tr w:rsidR="00485D4E" w:rsidRPr="001836FE" w14:paraId="0816020B" w14:textId="77777777" w:rsidTr="00485D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FFFFFF" w:themeColor="background1"/>
              <w:bottom w:val="single" w:sz="4" w:space="0" w:color="FFFFFF" w:themeColor="background1"/>
              <w:right w:val="single" w:sz="4" w:space="0" w:color="FFFFFF" w:themeColor="background1"/>
            </w:tcBorders>
            <w:shd w:val="clear" w:color="auto" w:fill="002060"/>
            <w:hideMark/>
          </w:tcPr>
          <w:p w14:paraId="7B53401C" w14:textId="77777777" w:rsidR="00485D4E" w:rsidRPr="00AF777B" w:rsidRDefault="00485D4E" w:rsidP="00AF777B">
            <w:pPr>
              <w:pStyle w:val="Sinespaciado"/>
              <w:jc w:val="both"/>
              <w:rPr>
                <w:rFonts w:ascii="IBM Plex Sans" w:hAnsi="IBM Plex Sans"/>
                <w:sz w:val="20"/>
                <w:szCs w:val="20"/>
              </w:rPr>
            </w:pPr>
            <w:r w:rsidRPr="00AF777B">
              <w:rPr>
                <w:rFonts w:ascii="IBM Plex Sans" w:hAnsi="IBM Plex Sans"/>
                <w:sz w:val="20"/>
                <w:szCs w:val="20"/>
              </w:rPr>
              <w:t>Directriz</w:t>
            </w:r>
          </w:p>
        </w:tc>
        <w:tc>
          <w:tcPr>
            <w:tcW w:w="59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3CF705A" w14:textId="77777777" w:rsidR="00485D4E" w:rsidRPr="00AF777B" w:rsidRDefault="00485D4E" w:rsidP="00AF777B">
            <w:pPr>
              <w:pStyle w:val="Sinespaciado"/>
              <w:jc w:val="both"/>
              <w:cnfStyle w:val="000000100000" w:firstRow="0" w:lastRow="0" w:firstColumn="0" w:lastColumn="0" w:oddVBand="0" w:evenVBand="0" w:oddHBand="1" w:evenHBand="0" w:firstRowFirstColumn="0" w:firstRowLastColumn="0" w:lastRowFirstColumn="0" w:lastRowLastColumn="0"/>
              <w:rPr>
                <w:rFonts w:ascii="IBM Plex Sans" w:hAnsi="IBM Plex Sans"/>
                <w:sz w:val="20"/>
                <w:szCs w:val="20"/>
              </w:rPr>
            </w:pPr>
            <w:r w:rsidRPr="00AF777B">
              <w:rPr>
                <w:rFonts w:ascii="IBM Plex Sans" w:hAnsi="IBM Plex Sans"/>
                <w:sz w:val="20"/>
                <w:szCs w:val="20"/>
              </w:rPr>
              <w:t>Conjunto de instrucciones o normas generales para coordinar la ejecución de una actividad, emitida por el ministerio rector.</w:t>
            </w:r>
          </w:p>
        </w:tc>
      </w:tr>
      <w:tr w:rsidR="00485D4E" w:rsidRPr="001836FE" w14:paraId="3CBE981C" w14:textId="77777777" w:rsidTr="00485D4E">
        <w:trPr>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FFFFFF" w:themeColor="background1"/>
              <w:bottom w:val="single" w:sz="4" w:space="0" w:color="FFFFFF" w:themeColor="background1"/>
              <w:right w:val="single" w:sz="4" w:space="0" w:color="FFFFFF" w:themeColor="background1"/>
            </w:tcBorders>
            <w:shd w:val="clear" w:color="auto" w:fill="002060"/>
            <w:hideMark/>
          </w:tcPr>
          <w:p w14:paraId="4F590F33" w14:textId="77777777" w:rsidR="00485D4E" w:rsidRPr="00AF777B" w:rsidRDefault="00485D4E" w:rsidP="00AF777B">
            <w:pPr>
              <w:pStyle w:val="Sinespaciado"/>
              <w:jc w:val="both"/>
              <w:rPr>
                <w:rFonts w:ascii="IBM Plex Sans" w:hAnsi="IBM Plex Sans"/>
                <w:sz w:val="20"/>
                <w:szCs w:val="20"/>
              </w:rPr>
            </w:pPr>
            <w:r w:rsidRPr="00AF777B">
              <w:rPr>
                <w:rFonts w:ascii="IBM Plex Sans" w:hAnsi="IBM Plex Sans"/>
                <w:sz w:val="20"/>
                <w:szCs w:val="20"/>
              </w:rPr>
              <w:t>Convenio</w:t>
            </w:r>
          </w:p>
        </w:tc>
        <w:tc>
          <w:tcPr>
            <w:tcW w:w="59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6A90201" w14:textId="77777777" w:rsidR="00485D4E" w:rsidRPr="00AF777B" w:rsidRDefault="00485D4E" w:rsidP="00AF777B">
            <w:pPr>
              <w:pStyle w:val="Sinespaciado"/>
              <w:jc w:val="both"/>
              <w:cnfStyle w:val="000000000000" w:firstRow="0" w:lastRow="0" w:firstColumn="0" w:lastColumn="0" w:oddVBand="0" w:evenVBand="0" w:oddHBand="0" w:evenHBand="0" w:firstRowFirstColumn="0" w:firstRowLastColumn="0" w:lastRowFirstColumn="0" w:lastRowLastColumn="0"/>
              <w:rPr>
                <w:rFonts w:ascii="IBM Plex Sans" w:hAnsi="IBM Plex Sans"/>
                <w:sz w:val="20"/>
                <w:szCs w:val="20"/>
              </w:rPr>
            </w:pPr>
            <w:r w:rsidRPr="00AF777B">
              <w:rPr>
                <w:rFonts w:ascii="IBM Plex Sans" w:hAnsi="IBM Plex Sans"/>
                <w:sz w:val="20"/>
                <w:szCs w:val="20"/>
              </w:rPr>
              <w:t>Acuerdo de voluntades entre dos o más instituciones públicas o entre una institución pública y un ente privado, con el propósito de establecer una interrelación de cooperación para satisfacer el interés público.</w:t>
            </w:r>
          </w:p>
        </w:tc>
      </w:tr>
      <w:tr w:rsidR="00485D4E" w:rsidRPr="001836FE" w14:paraId="1398F283" w14:textId="77777777" w:rsidTr="00485D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FFFFFF" w:themeColor="background1"/>
              <w:bottom w:val="single" w:sz="4" w:space="0" w:color="FFFFFF" w:themeColor="background1"/>
              <w:right w:val="single" w:sz="4" w:space="0" w:color="FFFFFF" w:themeColor="background1"/>
            </w:tcBorders>
            <w:shd w:val="clear" w:color="auto" w:fill="002060"/>
            <w:hideMark/>
          </w:tcPr>
          <w:p w14:paraId="76DE4967" w14:textId="77777777" w:rsidR="00485D4E" w:rsidRPr="00AF777B" w:rsidRDefault="00485D4E" w:rsidP="00AF777B">
            <w:pPr>
              <w:pStyle w:val="Sinespaciado"/>
              <w:jc w:val="both"/>
              <w:rPr>
                <w:rFonts w:ascii="IBM Plex Sans" w:hAnsi="IBM Plex Sans"/>
                <w:sz w:val="20"/>
                <w:szCs w:val="20"/>
              </w:rPr>
            </w:pPr>
            <w:r w:rsidRPr="00AF777B">
              <w:rPr>
                <w:rFonts w:ascii="IBM Plex Sans" w:hAnsi="IBM Plex Sans"/>
                <w:sz w:val="20"/>
                <w:szCs w:val="20"/>
              </w:rPr>
              <w:t>Acuerdo</w:t>
            </w:r>
          </w:p>
        </w:tc>
        <w:tc>
          <w:tcPr>
            <w:tcW w:w="59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8B2EF73" w14:textId="77777777" w:rsidR="00485D4E" w:rsidRPr="00AF777B" w:rsidRDefault="00485D4E" w:rsidP="00AF777B">
            <w:pPr>
              <w:pStyle w:val="Sinespaciado"/>
              <w:jc w:val="both"/>
              <w:cnfStyle w:val="000000100000" w:firstRow="0" w:lastRow="0" w:firstColumn="0" w:lastColumn="0" w:oddVBand="0" w:evenVBand="0" w:oddHBand="1" w:evenHBand="0" w:firstRowFirstColumn="0" w:firstRowLastColumn="0" w:lastRowFirstColumn="0" w:lastRowLastColumn="0"/>
              <w:rPr>
                <w:rFonts w:ascii="IBM Plex Sans" w:hAnsi="IBM Plex Sans"/>
                <w:sz w:val="20"/>
                <w:szCs w:val="20"/>
              </w:rPr>
            </w:pPr>
            <w:r w:rsidRPr="00AF777B">
              <w:rPr>
                <w:rFonts w:ascii="IBM Plex Sans" w:hAnsi="IBM Plex Sans"/>
                <w:sz w:val="20"/>
                <w:szCs w:val="20"/>
              </w:rPr>
              <w:t>Decisión tomada por un órgano administrativo competente sobre un tema en que se haya pronunciado, además, contiene una declaración del órgano administrativo de carácter unilateral, emitido por la junta directiva de una institución pública.</w:t>
            </w:r>
          </w:p>
        </w:tc>
      </w:tr>
      <w:tr w:rsidR="00485D4E" w:rsidRPr="001836FE" w14:paraId="03789188" w14:textId="77777777" w:rsidTr="00485D4E">
        <w:trPr>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FFFFFF" w:themeColor="background1"/>
              <w:bottom w:val="single" w:sz="4" w:space="0" w:color="FFFFFF" w:themeColor="background1"/>
              <w:right w:val="single" w:sz="4" w:space="0" w:color="FFFFFF" w:themeColor="background1"/>
            </w:tcBorders>
            <w:shd w:val="clear" w:color="auto" w:fill="002060"/>
            <w:hideMark/>
          </w:tcPr>
          <w:p w14:paraId="6D9C35FF" w14:textId="77777777" w:rsidR="00485D4E" w:rsidRPr="00AF777B" w:rsidRDefault="00485D4E" w:rsidP="00AF777B">
            <w:pPr>
              <w:pStyle w:val="Sinespaciado"/>
              <w:jc w:val="both"/>
              <w:rPr>
                <w:rFonts w:ascii="IBM Plex Sans" w:hAnsi="IBM Plex Sans"/>
                <w:sz w:val="20"/>
                <w:szCs w:val="20"/>
              </w:rPr>
            </w:pPr>
            <w:r w:rsidRPr="00AF777B">
              <w:rPr>
                <w:rFonts w:ascii="IBM Plex Sans" w:hAnsi="IBM Plex Sans"/>
                <w:sz w:val="20"/>
                <w:szCs w:val="20"/>
              </w:rPr>
              <w:t>Resolución</w:t>
            </w:r>
          </w:p>
        </w:tc>
        <w:tc>
          <w:tcPr>
            <w:tcW w:w="59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CD07080" w14:textId="77777777" w:rsidR="00485D4E" w:rsidRPr="00AF777B" w:rsidRDefault="00485D4E" w:rsidP="00AF777B">
            <w:pPr>
              <w:pStyle w:val="Sinespaciado"/>
              <w:jc w:val="both"/>
              <w:cnfStyle w:val="000000000000" w:firstRow="0" w:lastRow="0" w:firstColumn="0" w:lastColumn="0" w:oddVBand="0" w:evenVBand="0" w:oddHBand="0" w:evenHBand="0" w:firstRowFirstColumn="0" w:firstRowLastColumn="0" w:lastRowFirstColumn="0" w:lastRowLastColumn="0"/>
              <w:rPr>
                <w:rFonts w:ascii="IBM Plex Sans" w:hAnsi="IBM Plex Sans"/>
                <w:sz w:val="20"/>
                <w:szCs w:val="20"/>
              </w:rPr>
            </w:pPr>
            <w:r w:rsidRPr="00AF777B">
              <w:rPr>
                <w:rFonts w:ascii="IBM Plex Sans" w:hAnsi="IBM Plex Sans"/>
                <w:sz w:val="20"/>
                <w:szCs w:val="20"/>
              </w:rPr>
              <w:t>Acto administrativo que acopia la decisión de un órgano administrativo competente y da fin a un procedimiento resolviendo los asuntos planteados en el mismo, a su vez, puede contener disposiciones normativas, emitido por el despacho de un ministerio o la dirección de un órgano adscrito a un ministerio. En el caso de las universidades, las resoluciones son emitidas por la rectoría.</w:t>
            </w:r>
          </w:p>
        </w:tc>
      </w:tr>
      <w:tr w:rsidR="00485D4E" w:rsidRPr="00262399" w14:paraId="0ED78445" w14:textId="77777777" w:rsidTr="00485D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FFFFFF" w:themeColor="background1"/>
              <w:bottom w:val="single" w:sz="4" w:space="0" w:color="FFFFFF" w:themeColor="background1"/>
              <w:right w:val="single" w:sz="4" w:space="0" w:color="FFFFFF" w:themeColor="background1"/>
            </w:tcBorders>
            <w:shd w:val="clear" w:color="auto" w:fill="002060"/>
            <w:hideMark/>
          </w:tcPr>
          <w:p w14:paraId="4373B645" w14:textId="77777777" w:rsidR="00485D4E" w:rsidRPr="00AF777B" w:rsidRDefault="00485D4E" w:rsidP="00AF777B">
            <w:pPr>
              <w:pStyle w:val="Sinespaciado"/>
              <w:jc w:val="both"/>
              <w:rPr>
                <w:rFonts w:ascii="IBM Plex Sans" w:hAnsi="IBM Plex Sans"/>
                <w:sz w:val="20"/>
                <w:szCs w:val="20"/>
              </w:rPr>
            </w:pPr>
            <w:r w:rsidRPr="00AF777B">
              <w:rPr>
                <w:rFonts w:ascii="IBM Plex Sans" w:hAnsi="IBM Plex Sans"/>
                <w:sz w:val="20"/>
                <w:szCs w:val="20"/>
              </w:rPr>
              <w:t>Lineamiento</w:t>
            </w:r>
          </w:p>
        </w:tc>
        <w:tc>
          <w:tcPr>
            <w:tcW w:w="59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92440D2" w14:textId="77777777" w:rsidR="00485D4E" w:rsidRPr="00AF777B" w:rsidRDefault="00485D4E" w:rsidP="00AF777B">
            <w:pPr>
              <w:pStyle w:val="Sinespaciado"/>
              <w:jc w:val="both"/>
              <w:cnfStyle w:val="000000100000" w:firstRow="0" w:lastRow="0" w:firstColumn="0" w:lastColumn="0" w:oddVBand="0" w:evenVBand="0" w:oddHBand="1" w:evenHBand="0" w:firstRowFirstColumn="0" w:firstRowLastColumn="0" w:lastRowFirstColumn="0" w:lastRowLastColumn="0"/>
              <w:rPr>
                <w:rFonts w:ascii="IBM Plex Sans" w:hAnsi="IBM Plex Sans"/>
                <w:sz w:val="20"/>
                <w:szCs w:val="20"/>
              </w:rPr>
            </w:pPr>
            <w:r w:rsidRPr="00AF777B">
              <w:rPr>
                <w:rFonts w:ascii="IBM Plex Sans" w:hAnsi="IBM Plex Sans"/>
                <w:sz w:val="20"/>
                <w:szCs w:val="20"/>
              </w:rPr>
              <w:t xml:space="preserve">Conjunto de normas y procedimientos que deben acatarse en una organización o por parte de un grupo de personas en </w:t>
            </w:r>
            <w:r w:rsidRPr="00AF777B">
              <w:rPr>
                <w:rFonts w:ascii="IBM Plex Sans" w:hAnsi="IBM Plex Sans"/>
                <w:sz w:val="20"/>
                <w:szCs w:val="20"/>
              </w:rPr>
              <w:lastRenderedPageBreak/>
              <w:t xml:space="preserve">determinados actos, emitidas por un ministerio, un órgano adscrito a un ministerio y la dirección de una institución autónoma. Incorpora los planes de acción, programas y protocolos. </w:t>
            </w:r>
          </w:p>
        </w:tc>
      </w:tr>
      <w:tr w:rsidR="00485D4E" w:rsidRPr="001836FE" w14:paraId="2599E8BC" w14:textId="77777777" w:rsidTr="00485D4E">
        <w:trPr>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FFFFFF" w:themeColor="background1"/>
              <w:bottom w:val="single" w:sz="4" w:space="0" w:color="FFFFFF" w:themeColor="background1"/>
              <w:right w:val="single" w:sz="4" w:space="0" w:color="FFFFFF" w:themeColor="background1"/>
            </w:tcBorders>
            <w:shd w:val="clear" w:color="auto" w:fill="002060"/>
            <w:hideMark/>
          </w:tcPr>
          <w:p w14:paraId="7CFA0595" w14:textId="77777777" w:rsidR="00485D4E" w:rsidRPr="00AF777B" w:rsidRDefault="00485D4E" w:rsidP="00AF777B">
            <w:pPr>
              <w:pStyle w:val="Sinespaciado"/>
              <w:jc w:val="both"/>
              <w:rPr>
                <w:rFonts w:ascii="IBM Plex Sans" w:hAnsi="IBM Plex Sans"/>
                <w:sz w:val="20"/>
                <w:szCs w:val="20"/>
              </w:rPr>
            </w:pPr>
            <w:r w:rsidRPr="00AF777B">
              <w:rPr>
                <w:rFonts w:ascii="IBM Plex Sans" w:hAnsi="IBM Plex Sans"/>
                <w:sz w:val="20"/>
                <w:szCs w:val="20"/>
              </w:rPr>
              <w:lastRenderedPageBreak/>
              <w:t>Informe</w:t>
            </w:r>
          </w:p>
        </w:tc>
        <w:tc>
          <w:tcPr>
            <w:tcW w:w="59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EB52003" w14:textId="77777777" w:rsidR="00485D4E" w:rsidRPr="00AF777B" w:rsidRDefault="00485D4E" w:rsidP="00AF777B">
            <w:pPr>
              <w:pStyle w:val="Sinespaciado"/>
              <w:jc w:val="both"/>
              <w:cnfStyle w:val="000000000000" w:firstRow="0" w:lastRow="0" w:firstColumn="0" w:lastColumn="0" w:oddVBand="0" w:evenVBand="0" w:oddHBand="0" w:evenHBand="0" w:firstRowFirstColumn="0" w:firstRowLastColumn="0" w:lastRowFirstColumn="0" w:lastRowLastColumn="0"/>
              <w:rPr>
                <w:rFonts w:ascii="IBM Plex Sans" w:hAnsi="IBM Plex Sans"/>
                <w:sz w:val="20"/>
                <w:szCs w:val="20"/>
              </w:rPr>
            </w:pPr>
            <w:r w:rsidRPr="00AF777B">
              <w:rPr>
                <w:rFonts w:ascii="IBM Plex Sans" w:hAnsi="IBM Plex Sans"/>
                <w:sz w:val="20"/>
                <w:szCs w:val="20"/>
              </w:rPr>
              <w:t>Documento que describe o da a conocer datos precisos sobre el estado de una actividad, estudio o proyecto, referente a un caso específico, para conocer resultados de procesos administrativos.</w:t>
            </w:r>
          </w:p>
        </w:tc>
      </w:tr>
      <w:tr w:rsidR="00485D4E" w:rsidRPr="001836FE" w14:paraId="0AC140E6" w14:textId="77777777" w:rsidTr="00485D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FFFFFF" w:themeColor="background1"/>
              <w:bottom w:val="single" w:sz="4" w:space="0" w:color="FFFFFF" w:themeColor="background1"/>
              <w:right w:val="single" w:sz="4" w:space="0" w:color="FFFFFF" w:themeColor="background1"/>
            </w:tcBorders>
            <w:shd w:val="clear" w:color="auto" w:fill="002060"/>
            <w:hideMark/>
          </w:tcPr>
          <w:p w14:paraId="1C823F61" w14:textId="77777777" w:rsidR="00485D4E" w:rsidRPr="00AF777B" w:rsidRDefault="00485D4E" w:rsidP="00AF777B">
            <w:pPr>
              <w:pStyle w:val="Sinespaciado"/>
              <w:jc w:val="both"/>
              <w:rPr>
                <w:rFonts w:ascii="IBM Plex Sans" w:hAnsi="IBM Plex Sans"/>
                <w:sz w:val="20"/>
                <w:szCs w:val="20"/>
              </w:rPr>
            </w:pPr>
            <w:r w:rsidRPr="00AF777B">
              <w:rPr>
                <w:rFonts w:ascii="IBM Plex Sans" w:hAnsi="IBM Plex Sans"/>
                <w:sz w:val="20"/>
                <w:szCs w:val="20"/>
              </w:rPr>
              <w:t>Oficio</w:t>
            </w:r>
          </w:p>
        </w:tc>
        <w:tc>
          <w:tcPr>
            <w:tcW w:w="59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BC61FDD" w14:textId="77777777" w:rsidR="00485D4E" w:rsidRPr="00AF777B" w:rsidRDefault="00485D4E" w:rsidP="00AF777B">
            <w:pPr>
              <w:pStyle w:val="Sinespaciado"/>
              <w:jc w:val="both"/>
              <w:cnfStyle w:val="000000100000" w:firstRow="0" w:lastRow="0" w:firstColumn="0" w:lastColumn="0" w:oddVBand="0" w:evenVBand="0" w:oddHBand="1" w:evenHBand="0" w:firstRowFirstColumn="0" w:firstRowLastColumn="0" w:lastRowFirstColumn="0" w:lastRowLastColumn="0"/>
              <w:rPr>
                <w:rFonts w:ascii="IBM Plex Sans" w:hAnsi="IBM Plex Sans"/>
                <w:sz w:val="20"/>
                <w:szCs w:val="20"/>
              </w:rPr>
            </w:pPr>
            <w:r w:rsidRPr="00AF777B">
              <w:rPr>
                <w:rFonts w:ascii="IBM Plex Sans" w:hAnsi="IBM Plex Sans"/>
                <w:sz w:val="20"/>
                <w:szCs w:val="20"/>
              </w:rPr>
              <w:t>Documento que comunica un acuerdo, un dictamen, un informe, una orden, una resolución, entre otros, emitido por la dirección y/o gerencia de una institución pública.</w:t>
            </w:r>
          </w:p>
        </w:tc>
      </w:tr>
      <w:tr w:rsidR="00485D4E" w:rsidRPr="001836FE" w14:paraId="3B7882D7" w14:textId="77777777" w:rsidTr="00485D4E">
        <w:trPr>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FFFFFF" w:themeColor="background1"/>
              <w:bottom w:val="single" w:sz="4" w:space="0" w:color="FFFFFF" w:themeColor="background1"/>
              <w:right w:val="single" w:sz="4" w:space="0" w:color="FFFFFF" w:themeColor="background1"/>
            </w:tcBorders>
            <w:shd w:val="clear" w:color="auto" w:fill="002060"/>
            <w:hideMark/>
          </w:tcPr>
          <w:p w14:paraId="32E36257" w14:textId="77777777" w:rsidR="00485D4E" w:rsidRPr="00AF777B" w:rsidRDefault="00485D4E" w:rsidP="00AF777B">
            <w:pPr>
              <w:pStyle w:val="Sinespaciado"/>
              <w:jc w:val="both"/>
              <w:rPr>
                <w:rFonts w:ascii="IBM Plex Sans" w:hAnsi="IBM Plex Sans"/>
                <w:sz w:val="20"/>
                <w:szCs w:val="20"/>
              </w:rPr>
            </w:pPr>
            <w:r w:rsidRPr="00AF777B">
              <w:rPr>
                <w:rFonts w:ascii="IBM Plex Sans" w:hAnsi="IBM Plex Sans"/>
                <w:sz w:val="20"/>
                <w:szCs w:val="20"/>
              </w:rPr>
              <w:t>Circular</w:t>
            </w:r>
          </w:p>
        </w:tc>
        <w:tc>
          <w:tcPr>
            <w:tcW w:w="59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8407294" w14:textId="77777777" w:rsidR="00485D4E" w:rsidRPr="00AF777B" w:rsidRDefault="00485D4E" w:rsidP="00AF777B">
            <w:pPr>
              <w:pStyle w:val="Sinespaciado"/>
              <w:jc w:val="both"/>
              <w:cnfStyle w:val="000000000000" w:firstRow="0" w:lastRow="0" w:firstColumn="0" w:lastColumn="0" w:oddVBand="0" w:evenVBand="0" w:oddHBand="0" w:evenHBand="0" w:firstRowFirstColumn="0" w:firstRowLastColumn="0" w:lastRowFirstColumn="0" w:lastRowLastColumn="0"/>
              <w:rPr>
                <w:rFonts w:ascii="IBM Plex Sans" w:hAnsi="IBM Plex Sans"/>
                <w:sz w:val="20"/>
                <w:szCs w:val="20"/>
              </w:rPr>
            </w:pPr>
            <w:r w:rsidRPr="00AF777B">
              <w:rPr>
                <w:rFonts w:ascii="IBM Plex Sans" w:hAnsi="IBM Plex Sans"/>
                <w:sz w:val="20"/>
                <w:szCs w:val="20"/>
              </w:rPr>
              <w:t>Comunicación dirigida por una autoridad superior para informar a sus subalternos eventos, circunstancias o hechos, emitido por la dirección de un ministerio u órgano adscrito y la presidencia ejecutiva de una institución autónoma,</w:t>
            </w:r>
          </w:p>
        </w:tc>
      </w:tr>
      <w:tr w:rsidR="00485D4E" w:rsidRPr="001836FE" w14:paraId="75999A43" w14:textId="77777777" w:rsidTr="00485D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FFFFFF" w:themeColor="background1"/>
              <w:right w:val="single" w:sz="4" w:space="0" w:color="FFFFFF" w:themeColor="background1"/>
            </w:tcBorders>
            <w:shd w:val="clear" w:color="auto" w:fill="002060"/>
            <w:hideMark/>
          </w:tcPr>
          <w:p w14:paraId="19403B3D" w14:textId="77777777" w:rsidR="00485D4E" w:rsidRPr="00AF777B" w:rsidRDefault="00485D4E" w:rsidP="00AF777B">
            <w:pPr>
              <w:pStyle w:val="Sinespaciado"/>
              <w:jc w:val="both"/>
              <w:rPr>
                <w:rFonts w:ascii="IBM Plex Sans" w:hAnsi="IBM Plex Sans"/>
                <w:sz w:val="20"/>
                <w:szCs w:val="20"/>
              </w:rPr>
            </w:pPr>
            <w:r w:rsidRPr="00AF777B">
              <w:rPr>
                <w:rFonts w:ascii="IBM Plex Sans" w:hAnsi="IBM Plex Sans"/>
                <w:sz w:val="20"/>
                <w:szCs w:val="20"/>
              </w:rPr>
              <w:t>Comunicado</w:t>
            </w:r>
          </w:p>
        </w:tc>
        <w:tc>
          <w:tcPr>
            <w:tcW w:w="59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02D516D" w14:textId="77777777" w:rsidR="00485D4E" w:rsidRPr="00AF777B" w:rsidRDefault="00485D4E" w:rsidP="00AF777B">
            <w:pPr>
              <w:pStyle w:val="Sinespaciado"/>
              <w:jc w:val="both"/>
              <w:cnfStyle w:val="000000100000" w:firstRow="0" w:lastRow="0" w:firstColumn="0" w:lastColumn="0" w:oddVBand="0" w:evenVBand="0" w:oddHBand="1" w:evenHBand="0" w:firstRowFirstColumn="0" w:firstRowLastColumn="0" w:lastRowFirstColumn="0" w:lastRowLastColumn="0"/>
              <w:rPr>
                <w:rFonts w:ascii="IBM Plex Sans" w:hAnsi="IBM Plex Sans"/>
                <w:sz w:val="20"/>
                <w:szCs w:val="20"/>
              </w:rPr>
            </w:pPr>
            <w:r w:rsidRPr="00AF777B">
              <w:rPr>
                <w:rFonts w:ascii="IBM Plex Sans" w:hAnsi="IBM Plex Sans"/>
                <w:sz w:val="20"/>
                <w:szCs w:val="20"/>
              </w:rPr>
              <w:t>Texto establecido y firmado por una institución pública, publicado en la página oficial de dicha institución.</w:t>
            </w:r>
          </w:p>
        </w:tc>
      </w:tr>
    </w:tbl>
    <w:p w14:paraId="3AB0C32E" w14:textId="0C8A226D" w:rsidR="00E077BE" w:rsidRPr="00AF777B" w:rsidRDefault="002375C4" w:rsidP="003520BA">
      <w:pPr>
        <w:pStyle w:val="Sinespaciado"/>
        <w:jc w:val="both"/>
        <w:rPr>
          <w:rFonts w:ascii="IBM Plex Sans Light" w:hAnsi="IBM Plex Sans Light"/>
          <w:sz w:val="18"/>
          <w:szCs w:val="18"/>
        </w:rPr>
      </w:pPr>
      <w:r w:rsidRPr="00AF777B">
        <w:rPr>
          <w:rFonts w:ascii="IBM Plex Sans Light" w:hAnsi="IBM Plex Sans Light"/>
          <w:sz w:val="18"/>
          <w:szCs w:val="18"/>
        </w:rPr>
        <w:t xml:space="preserve">Fuente: Elaboración propia a partir de </w:t>
      </w:r>
      <w:r w:rsidR="003D66CF" w:rsidRPr="00AF777B">
        <w:rPr>
          <w:rFonts w:ascii="IBM Plex Sans Light" w:hAnsi="IBM Plex Sans Light"/>
          <w:sz w:val="18"/>
          <w:szCs w:val="18"/>
        </w:rPr>
        <w:t xml:space="preserve">Arévola Jordán (2003), el Centro de Información Jurídica en Línea (s.f.), </w:t>
      </w:r>
      <w:r w:rsidRPr="00AF777B">
        <w:rPr>
          <w:rFonts w:ascii="IBM Plex Sans Light" w:hAnsi="IBM Plex Sans Light"/>
          <w:sz w:val="18"/>
          <w:szCs w:val="18"/>
        </w:rPr>
        <w:t>Tribunal Registral Administrativo</w:t>
      </w:r>
      <w:r w:rsidR="003D66CF" w:rsidRPr="00AF777B">
        <w:rPr>
          <w:rFonts w:ascii="IBM Plex Sans Light" w:hAnsi="IBM Plex Sans Light"/>
          <w:sz w:val="18"/>
          <w:szCs w:val="18"/>
        </w:rPr>
        <w:t xml:space="preserve"> (</w:t>
      </w:r>
      <w:r w:rsidRPr="00AF777B">
        <w:rPr>
          <w:rFonts w:ascii="IBM Plex Sans Light" w:hAnsi="IBM Plex Sans Light"/>
          <w:sz w:val="18"/>
          <w:szCs w:val="18"/>
        </w:rPr>
        <w:t>2018) y</w:t>
      </w:r>
      <w:r w:rsidR="003D66CF" w:rsidRPr="00AF777B">
        <w:rPr>
          <w:rFonts w:ascii="IBM Plex Sans Light" w:hAnsi="IBM Plex Sans Light"/>
          <w:sz w:val="18"/>
          <w:szCs w:val="18"/>
        </w:rPr>
        <w:t xml:space="preserve"> Valdelande (2007)</w:t>
      </w:r>
      <w:r w:rsidRPr="00AF777B">
        <w:rPr>
          <w:rFonts w:ascii="IBM Plex Sans Light" w:hAnsi="IBM Plex Sans Light"/>
          <w:sz w:val="18"/>
          <w:szCs w:val="18"/>
        </w:rPr>
        <w:t>.</w:t>
      </w:r>
    </w:p>
    <w:p w14:paraId="074BBA37" w14:textId="77777777" w:rsidR="002375C4" w:rsidRPr="007F3E4E" w:rsidRDefault="002375C4" w:rsidP="007F3E4E">
      <w:pPr>
        <w:pStyle w:val="Sinespaciado"/>
        <w:spacing w:after="240"/>
        <w:jc w:val="both"/>
        <w:rPr>
          <w:rFonts w:ascii="IBM Plex Sans" w:hAnsi="IBM Plex Sans"/>
        </w:rPr>
      </w:pPr>
    </w:p>
    <w:p w14:paraId="773A69C3" w14:textId="77777777" w:rsidR="007F3E4E" w:rsidRPr="00290AC5" w:rsidRDefault="006C1E44" w:rsidP="00290AC5">
      <w:pPr>
        <w:pStyle w:val="Ttulo2"/>
        <w:rPr>
          <w:rFonts w:ascii="IBM Plex Sans" w:hAnsi="IBM Plex Sans"/>
        </w:rPr>
      </w:pPr>
      <w:bookmarkStart w:id="9" w:name="_Toc86615279"/>
      <w:r w:rsidRPr="00290AC5">
        <w:rPr>
          <w:rFonts w:ascii="IBM Plex Sans" w:hAnsi="IBM Plex Sans"/>
        </w:rPr>
        <w:t>4</w:t>
      </w:r>
      <w:r w:rsidR="00E077BE" w:rsidRPr="00290AC5">
        <w:rPr>
          <w:rFonts w:ascii="IBM Plex Sans" w:hAnsi="IBM Plex Sans"/>
        </w:rPr>
        <w:t>. Título de la norma (titulo_norma)</w:t>
      </w:r>
      <w:bookmarkEnd w:id="9"/>
    </w:p>
    <w:p w14:paraId="2A3C8631" w14:textId="45DE2B92" w:rsidR="00E077BE" w:rsidRPr="007F3E4E" w:rsidRDefault="00E077BE" w:rsidP="007F3E4E">
      <w:pPr>
        <w:pStyle w:val="Sinespaciado"/>
        <w:spacing w:after="240"/>
        <w:jc w:val="both"/>
        <w:rPr>
          <w:rFonts w:ascii="IBM Plex Sans" w:hAnsi="IBM Plex Sans"/>
        </w:rPr>
      </w:pPr>
      <w:r w:rsidRPr="007F3E4E">
        <w:rPr>
          <w:rFonts w:ascii="IBM Plex Sans" w:hAnsi="IBM Plex Sans"/>
          <w:lang w:val="es-CR"/>
        </w:rPr>
        <w:t xml:space="preserve">Debe registrarse el título completo de la norma tal y como aparece en el documento fuente. </w:t>
      </w:r>
      <w:r w:rsidRPr="007F3E4E">
        <w:rPr>
          <w:rFonts w:ascii="IBM Plex Sans" w:hAnsi="IBM Plex Sans"/>
        </w:rPr>
        <w:t xml:space="preserve">Por </w:t>
      </w:r>
      <w:r w:rsidRPr="00290AC5">
        <w:rPr>
          <w:rFonts w:ascii="IBM Plex Sans" w:hAnsi="IBM Plex Sans"/>
          <w:lang w:val="es-CR"/>
        </w:rPr>
        <w:t>ejemplo: “Restricción</w:t>
      </w:r>
      <w:r w:rsidRPr="007F3E4E">
        <w:rPr>
          <w:rFonts w:ascii="IBM Plex Sans" w:hAnsi="IBM Plex Sans"/>
        </w:rPr>
        <w:t xml:space="preserve"> vehicular en horario nocturno para mitigar los efectos del Covid-19”. En caso de que la norma carezca de un título formal, se debe registrar en este campo “NI”.</w:t>
      </w:r>
    </w:p>
    <w:p w14:paraId="0F806467" w14:textId="77777777" w:rsidR="007F3E4E" w:rsidRPr="00290AC5" w:rsidRDefault="006C1E44" w:rsidP="00290AC5">
      <w:pPr>
        <w:pStyle w:val="Ttulo2"/>
        <w:rPr>
          <w:rFonts w:ascii="IBM Plex Sans Light" w:hAnsi="IBM Plex Sans Light"/>
        </w:rPr>
      </w:pPr>
      <w:bookmarkStart w:id="10" w:name="_Toc86615280"/>
      <w:r w:rsidRPr="00290AC5">
        <w:rPr>
          <w:rFonts w:ascii="IBM Plex Sans Light" w:hAnsi="IBM Plex Sans Light"/>
        </w:rPr>
        <w:t>5</w:t>
      </w:r>
      <w:r w:rsidR="00E077BE" w:rsidRPr="00290AC5">
        <w:rPr>
          <w:rFonts w:ascii="IBM Plex Sans Light" w:hAnsi="IBM Plex Sans Light"/>
        </w:rPr>
        <w:t xml:space="preserve">. Texto de la </w:t>
      </w:r>
      <w:r w:rsidR="00C95DA0" w:rsidRPr="00290AC5">
        <w:rPr>
          <w:rFonts w:ascii="IBM Plex Sans Light" w:hAnsi="IBM Plex Sans Light"/>
        </w:rPr>
        <w:t>medida</w:t>
      </w:r>
      <w:r w:rsidR="00E077BE" w:rsidRPr="00290AC5">
        <w:rPr>
          <w:rFonts w:ascii="IBM Plex Sans Light" w:hAnsi="IBM Plex Sans Light"/>
        </w:rPr>
        <w:t xml:space="preserve"> (texto_</w:t>
      </w:r>
      <w:r w:rsidR="00C95DA0" w:rsidRPr="00290AC5">
        <w:rPr>
          <w:rFonts w:ascii="IBM Plex Sans Light" w:hAnsi="IBM Plex Sans Light"/>
        </w:rPr>
        <w:t>medida</w:t>
      </w:r>
      <w:r w:rsidR="00E077BE" w:rsidRPr="00290AC5">
        <w:rPr>
          <w:rFonts w:ascii="IBM Plex Sans Light" w:hAnsi="IBM Plex Sans Light"/>
        </w:rPr>
        <w:t>)</w:t>
      </w:r>
      <w:bookmarkEnd w:id="10"/>
    </w:p>
    <w:p w14:paraId="6EF4CE67" w14:textId="1C33EFBA" w:rsidR="00E077BE" w:rsidRPr="007F3E4E" w:rsidRDefault="00E077BE" w:rsidP="007F3E4E">
      <w:pPr>
        <w:pStyle w:val="Sinespaciado"/>
        <w:spacing w:after="240"/>
        <w:jc w:val="both"/>
        <w:rPr>
          <w:rFonts w:ascii="IBM Plex Sans" w:hAnsi="IBM Plex Sans"/>
        </w:rPr>
      </w:pPr>
      <w:r w:rsidRPr="007F3E4E">
        <w:rPr>
          <w:rFonts w:ascii="IBM Plex Sans" w:hAnsi="IBM Plex Sans"/>
          <w:lang w:val="es-CR"/>
        </w:rPr>
        <w:t xml:space="preserve">Debe registrarse </w:t>
      </w:r>
      <w:r w:rsidR="006C1E44" w:rsidRPr="007F3E4E">
        <w:rPr>
          <w:rFonts w:ascii="IBM Plex Sans" w:hAnsi="IBM Plex Sans"/>
          <w:lang w:val="es-CR"/>
        </w:rPr>
        <w:t xml:space="preserve">literalmente aquella parte del texto </w:t>
      </w:r>
      <w:r w:rsidRPr="007F3E4E">
        <w:rPr>
          <w:rFonts w:ascii="IBM Plex Sans" w:hAnsi="IBM Plex Sans"/>
          <w:lang w:val="es-CR"/>
        </w:rPr>
        <w:t xml:space="preserve">de la norma </w:t>
      </w:r>
      <w:r w:rsidR="006C1E44" w:rsidRPr="007F3E4E">
        <w:rPr>
          <w:rFonts w:ascii="IBM Plex Sans" w:hAnsi="IBM Plex Sans"/>
          <w:lang w:val="es-CR"/>
        </w:rPr>
        <w:t xml:space="preserve">al que pertenece la medida, </w:t>
      </w:r>
      <w:r w:rsidRPr="007F3E4E">
        <w:rPr>
          <w:rFonts w:ascii="IBM Plex Sans" w:hAnsi="IBM Plex Sans"/>
          <w:lang w:val="es-CR"/>
        </w:rPr>
        <w:t xml:space="preserve">que </w:t>
      </w:r>
      <w:r w:rsidR="006C1E44" w:rsidRPr="007F3E4E">
        <w:rPr>
          <w:rFonts w:ascii="IBM Plex Sans" w:hAnsi="IBM Plex Sans"/>
          <w:lang w:val="es-CR"/>
        </w:rPr>
        <w:t xml:space="preserve">se </w:t>
      </w:r>
      <w:r w:rsidRPr="007F3E4E">
        <w:rPr>
          <w:rFonts w:ascii="IBM Plex Sans" w:hAnsi="IBM Plex Sans"/>
          <w:lang w:val="es-CR"/>
        </w:rPr>
        <w:t xml:space="preserve">refiera </w:t>
      </w:r>
      <w:r w:rsidR="006C1E44" w:rsidRPr="007F3E4E">
        <w:rPr>
          <w:rFonts w:ascii="IBM Plex Sans" w:hAnsi="IBM Plex Sans"/>
          <w:lang w:val="es-CR"/>
        </w:rPr>
        <w:t xml:space="preserve">expresamente </w:t>
      </w:r>
      <w:r w:rsidRPr="007F3E4E">
        <w:rPr>
          <w:rFonts w:ascii="IBM Plex Sans" w:hAnsi="IBM Plex Sans"/>
          <w:lang w:val="es-CR"/>
        </w:rPr>
        <w:t>a la medida</w:t>
      </w:r>
      <w:r w:rsidR="00797CAF" w:rsidRPr="007F3E4E">
        <w:rPr>
          <w:rFonts w:ascii="IBM Plex Sans" w:hAnsi="IBM Plex Sans"/>
          <w:lang w:val="es-CR"/>
        </w:rPr>
        <w:t xml:space="preserve"> y como aparece en el documento fuente</w:t>
      </w:r>
      <w:r w:rsidRPr="007F3E4E">
        <w:rPr>
          <w:rFonts w:ascii="IBM Plex Sans" w:hAnsi="IBM Plex Sans"/>
          <w:lang w:val="es-CR"/>
        </w:rPr>
        <w:t xml:space="preserve">, siempre y cuando este refleje la función, intención y características principales de la </w:t>
      </w:r>
      <w:r w:rsidR="0017298A" w:rsidRPr="007F3E4E">
        <w:rPr>
          <w:rFonts w:ascii="IBM Plex Sans" w:hAnsi="IBM Plex Sans"/>
          <w:lang w:val="es-CR"/>
        </w:rPr>
        <w:t>medida</w:t>
      </w:r>
      <w:r w:rsidRPr="007F3E4E">
        <w:rPr>
          <w:rFonts w:ascii="IBM Plex Sans" w:hAnsi="IBM Plex Sans"/>
          <w:lang w:val="es-CR"/>
        </w:rPr>
        <w:t>.</w:t>
      </w:r>
      <w:r w:rsidR="006C1E44" w:rsidRPr="007F3E4E">
        <w:rPr>
          <w:rFonts w:ascii="IBM Plex Sans" w:hAnsi="IBM Plex Sans"/>
          <w:lang w:val="es-CR"/>
        </w:rPr>
        <w:t xml:space="preserve"> </w:t>
      </w:r>
      <w:r w:rsidR="006C1E44" w:rsidRPr="007F3E4E">
        <w:rPr>
          <w:rFonts w:ascii="IBM Plex Sans" w:hAnsi="IBM Plex Sans"/>
        </w:rPr>
        <w:t xml:space="preserve">No </w:t>
      </w:r>
      <w:r w:rsidR="007E035D" w:rsidRPr="007F3E4E">
        <w:rPr>
          <w:rFonts w:ascii="IBM Plex Sans" w:hAnsi="IBM Plex Sans"/>
        </w:rPr>
        <w:t>debe</w:t>
      </w:r>
      <w:r w:rsidR="006C1E44" w:rsidRPr="007F3E4E">
        <w:rPr>
          <w:rFonts w:ascii="IBM Plex Sans" w:hAnsi="IBM Plex Sans"/>
        </w:rPr>
        <w:t xml:space="preserve"> </w:t>
      </w:r>
      <w:r w:rsidR="006C1E44" w:rsidRPr="00290AC5">
        <w:rPr>
          <w:rFonts w:ascii="IBM Plex Sans" w:hAnsi="IBM Plex Sans"/>
          <w:lang w:val="es-CR"/>
        </w:rPr>
        <w:t>mezclarse el</w:t>
      </w:r>
      <w:r w:rsidR="006C1E44" w:rsidRPr="007F3E4E">
        <w:rPr>
          <w:rFonts w:ascii="IBM Plex Sans" w:hAnsi="IBM Plex Sans"/>
        </w:rPr>
        <w:t xml:space="preserve"> texto de dos o más medidas. Es incorrecto poner todo el texto contenido de la norma, salvo cuando la norma contenga solo una medida</w:t>
      </w:r>
      <w:r w:rsidR="0017298A" w:rsidRPr="007F3E4E">
        <w:rPr>
          <w:rFonts w:ascii="IBM Plex Sans" w:hAnsi="IBM Plex Sans"/>
        </w:rPr>
        <w:t xml:space="preserve"> y, aún en este caso, solo poner la parte referente a la medida, excluyendo motivaciones, reflexiones y consideraciones,</w:t>
      </w:r>
    </w:p>
    <w:p w14:paraId="46E3F060" w14:textId="77777777" w:rsidR="007F3E4E" w:rsidRPr="003B148C" w:rsidRDefault="007E035D" w:rsidP="003B148C">
      <w:pPr>
        <w:pStyle w:val="Ttulo2"/>
        <w:jc w:val="both"/>
        <w:rPr>
          <w:rFonts w:ascii="IBM Plex Sans Light" w:hAnsi="IBM Plex Sans Light"/>
        </w:rPr>
      </w:pPr>
      <w:bookmarkStart w:id="11" w:name="_Toc86615281"/>
      <w:r w:rsidRPr="003B148C">
        <w:rPr>
          <w:rFonts w:ascii="IBM Plex Sans Light" w:hAnsi="IBM Plex Sans Light"/>
        </w:rPr>
        <w:t>6</w:t>
      </w:r>
      <w:r w:rsidR="00E077BE" w:rsidRPr="003B148C">
        <w:rPr>
          <w:rFonts w:ascii="IBM Plex Sans Light" w:hAnsi="IBM Plex Sans Light"/>
        </w:rPr>
        <w:t>. Tipo de medida (tipo_medida)</w:t>
      </w:r>
      <w:r w:rsidR="006975F4" w:rsidRPr="003B148C">
        <w:rPr>
          <w:rFonts w:ascii="IBM Plex Sans Light" w:hAnsi="IBM Plex Sans Light"/>
        </w:rPr>
        <w:t xml:space="preserve"> y 7. subtipo de medida (subtipo_medida)</w:t>
      </w:r>
      <w:bookmarkEnd w:id="11"/>
    </w:p>
    <w:p w14:paraId="409F45FF" w14:textId="56BDB55F" w:rsidR="00E077BE" w:rsidRPr="007F3E4E" w:rsidRDefault="00E077BE" w:rsidP="007F3E4E">
      <w:pPr>
        <w:pStyle w:val="Sinespaciado"/>
        <w:spacing w:after="240"/>
        <w:jc w:val="both"/>
        <w:rPr>
          <w:rFonts w:ascii="IBM Plex Sans" w:hAnsi="IBM Plex Sans"/>
          <w:lang w:val="es-CR"/>
        </w:rPr>
      </w:pPr>
      <w:r w:rsidRPr="007F3E4E">
        <w:rPr>
          <w:rFonts w:ascii="IBM Plex Sans" w:hAnsi="IBM Plex Sans"/>
          <w:lang w:val="es-CR"/>
        </w:rPr>
        <w:t xml:space="preserve">Esta </w:t>
      </w:r>
      <w:r w:rsidR="00441CC1" w:rsidRPr="007F3E4E">
        <w:rPr>
          <w:rFonts w:ascii="IBM Plex Sans" w:hAnsi="IBM Plex Sans"/>
          <w:lang w:val="es-CR"/>
        </w:rPr>
        <w:t>variable</w:t>
      </w:r>
      <w:r w:rsidRPr="007F3E4E">
        <w:rPr>
          <w:rFonts w:ascii="IBM Plex Sans" w:hAnsi="IBM Plex Sans"/>
          <w:lang w:val="es-CR"/>
        </w:rPr>
        <w:t xml:space="preserve"> </w:t>
      </w:r>
      <w:r w:rsidR="006975F4" w:rsidRPr="007F3E4E">
        <w:rPr>
          <w:rFonts w:ascii="IBM Plex Sans" w:hAnsi="IBM Plex Sans"/>
          <w:lang w:val="es-CR"/>
        </w:rPr>
        <w:t>realiza</w:t>
      </w:r>
      <w:r w:rsidRPr="007F3E4E">
        <w:rPr>
          <w:rFonts w:ascii="IBM Plex Sans" w:hAnsi="IBM Plex Sans"/>
          <w:lang w:val="es-CR"/>
        </w:rPr>
        <w:t xml:space="preserve"> una clasificación simplificada del tipo </w:t>
      </w:r>
      <w:r w:rsidR="006975F4" w:rsidRPr="007F3E4E">
        <w:rPr>
          <w:rFonts w:ascii="IBM Plex Sans" w:hAnsi="IBM Plex Sans"/>
          <w:lang w:val="es-CR"/>
        </w:rPr>
        <w:t xml:space="preserve">y subtipo </w:t>
      </w:r>
      <w:r w:rsidRPr="007F3E4E">
        <w:rPr>
          <w:rFonts w:ascii="IBM Plex Sans" w:hAnsi="IBM Plex Sans"/>
          <w:lang w:val="es-CR"/>
        </w:rPr>
        <w:t xml:space="preserve">de medida según los efectos que </w:t>
      </w:r>
      <w:r w:rsidR="006975F4" w:rsidRPr="007F3E4E">
        <w:rPr>
          <w:rFonts w:ascii="IBM Plex Sans" w:hAnsi="IBM Plex Sans"/>
          <w:lang w:val="es-CR"/>
        </w:rPr>
        <w:t xml:space="preserve">se </w:t>
      </w:r>
      <w:r w:rsidRPr="007F3E4E">
        <w:rPr>
          <w:rFonts w:ascii="IBM Plex Sans" w:hAnsi="IBM Plex Sans"/>
          <w:lang w:val="es-CR"/>
        </w:rPr>
        <w:t>busca</w:t>
      </w:r>
      <w:r w:rsidR="006975F4" w:rsidRPr="007F3E4E">
        <w:rPr>
          <w:rFonts w:ascii="IBM Plex Sans" w:hAnsi="IBM Plex Sans"/>
          <w:lang w:val="es-CR"/>
        </w:rPr>
        <w:t>n</w:t>
      </w:r>
      <w:r w:rsidRPr="007F3E4E">
        <w:rPr>
          <w:rFonts w:ascii="IBM Plex Sans" w:hAnsi="IBM Plex Sans"/>
          <w:lang w:val="es-CR"/>
        </w:rPr>
        <w:t>.</w:t>
      </w:r>
    </w:p>
    <w:p w14:paraId="5CA34276" w14:textId="7F684C37" w:rsidR="009D77C2" w:rsidRPr="003B148C" w:rsidRDefault="009D77C2" w:rsidP="003B148C">
      <w:pPr>
        <w:spacing w:after="0" w:line="360" w:lineRule="auto"/>
        <w:jc w:val="both"/>
        <w:rPr>
          <w:rFonts w:ascii="IBM Plex Sans Light" w:hAnsi="IBM Plex Sans Light" w:cs="Arial"/>
          <w:b/>
          <w:bCs/>
        </w:rPr>
      </w:pPr>
      <w:r w:rsidRPr="003B148C">
        <w:rPr>
          <w:rFonts w:ascii="IBM Plex Sans Light" w:hAnsi="IBM Plex Sans Light" w:cs="Arial"/>
          <w:b/>
          <w:bCs/>
        </w:rPr>
        <w:t>Cuadro 2. Tipo de medida.</w:t>
      </w:r>
    </w:p>
    <w:tbl>
      <w:tblPr>
        <w:tblStyle w:val="Tablaconcuadrcula5oscura-nfasis1"/>
        <w:tblW w:w="8787" w:type="dxa"/>
        <w:tblLook w:val="04A0" w:firstRow="1" w:lastRow="0" w:firstColumn="1" w:lastColumn="0" w:noHBand="0" w:noVBand="1"/>
      </w:tblPr>
      <w:tblGrid>
        <w:gridCol w:w="2405"/>
        <w:gridCol w:w="6382"/>
      </w:tblGrid>
      <w:tr w:rsidR="005A6B7E" w14:paraId="6E3860B8" w14:textId="77777777" w:rsidTr="005078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002060"/>
          </w:tcPr>
          <w:p w14:paraId="394D15CA" w14:textId="77777777" w:rsidR="005A6B7E" w:rsidRPr="003B148C" w:rsidRDefault="005A6B7E" w:rsidP="009E56C3">
            <w:pPr>
              <w:rPr>
                <w:rFonts w:ascii="IBM Plex Sans" w:hAnsi="IBM Plex Sans" w:cs="Arial"/>
                <w:sz w:val="20"/>
                <w:szCs w:val="20"/>
              </w:rPr>
            </w:pPr>
            <w:r w:rsidRPr="003B148C">
              <w:rPr>
                <w:rFonts w:ascii="IBM Plex Sans" w:hAnsi="IBM Plex Sans" w:cs="Arial"/>
                <w:sz w:val="20"/>
                <w:szCs w:val="20"/>
              </w:rPr>
              <w:t>Tipo de medida</w:t>
            </w:r>
          </w:p>
        </w:tc>
        <w:tc>
          <w:tcPr>
            <w:tcW w:w="6382" w:type="dxa"/>
            <w:shd w:val="clear" w:color="auto" w:fill="002060"/>
          </w:tcPr>
          <w:p w14:paraId="5D49AB2A" w14:textId="2766AD51" w:rsidR="005A6B7E" w:rsidRPr="003B148C" w:rsidRDefault="006975F4" w:rsidP="003B148C">
            <w:pPr>
              <w:jc w:val="both"/>
              <w:cnfStyle w:val="100000000000" w:firstRow="1" w:lastRow="0" w:firstColumn="0" w:lastColumn="0" w:oddVBand="0" w:evenVBand="0" w:oddHBand="0" w:evenHBand="0" w:firstRowFirstColumn="0" w:firstRowLastColumn="0" w:lastRowFirstColumn="0" w:lastRowLastColumn="0"/>
              <w:rPr>
                <w:rFonts w:ascii="IBM Plex Sans" w:hAnsi="IBM Plex Sans" w:cs="Arial"/>
                <w:sz w:val="20"/>
                <w:szCs w:val="20"/>
              </w:rPr>
            </w:pPr>
            <w:r w:rsidRPr="003B148C">
              <w:rPr>
                <w:rFonts w:ascii="IBM Plex Sans" w:hAnsi="IBM Plex Sans" w:cs="Arial"/>
                <w:sz w:val="20"/>
                <w:szCs w:val="20"/>
              </w:rPr>
              <w:t>Subt</w:t>
            </w:r>
            <w:r w:rsidR="005A6B7E" w:rsidRPr="003B148C">
              <w:rPr>
                <w:rFonts w:ascii="IBM Plex Sans" w:hAnsi="IBM Plex Sans" w:cs="Arial"/>
                <w:sz w:val="20"/>
                <w:szCs w:val="20"/>
              </w:rPr>
              <w:t>ipo de medida</w:t>
            </w:r>
          </w:p>
        </w:tc>
      </w:tr>
      <w:tr w:rsidR="00217A80" w14:paraId="2AF4C58C" w14:textId="77777777" w:rsidTr="0050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002060"/>
          </w:tcPr>
          <w:p w14:paraId="03E3535B" w14:textId="04A96F0F" w:rsidR="00217A80" w:rsidRPr="003B148C" w:rsidRDefault="006975F4" w:rsidP="009E56C3">
            <w:pPr>
              <w:rPr>
                <w:rFonts w:ascii="IBM Plex Sans" w:hAnsi="IBM Plex Sans" w:cs="Arial"/>
                <w:sz w:val="20"/>
                <w:szCs w:val="20"/>
              </w:rPr>
            </w:pPr>
            <w:r w:rsidRPr="003B148C">
              <w:rPr>
                <w:rFonts w:ascii="IBM Plex Sans" w:hAnsi="IBM Plex Sans" w:cs="Arial"/>
                <w:sz w:val="20"/>
                <w:szCs w:val="20"/>
              </w:rPr>
              <w:t>M</w:t>
            </w:r>
            <w:r w:rsidR="00217A80" w:rsidRPr="003B148C">
              <w:rPr>
                <w:rFonts w:ascii="IBM Plex Sans" w:hAnsi="IBM Plex Sans" w:cs="Arial"/>
                <w:sz w:val="20"/>
                <w:szCs w:val="20"/>
              </w:rPr>
              <w:t>esas de diálogo</w:t>
            </w:r>
          </w:p>
        </w:tc>
        <w:tc>
          <w:tcPr>
            <w:tcW w:w="6382" w:type="dxa"/>
          </w:tcPr>
          <w:p w14:paraId="43017BBC" w14:textId="63FA4C48" w:rsidR="00217A80" w:rsidRPr="003B148C" w:rsidRDefault="006975F4" w:rsidP="003B148C">
            <w:pPr>
              <w:jc w:val="both"/>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3B148C">
              <w:rPr>
                <w:rFonts w:ascii="IBM Plex Sans" w:hAnsi="IBM Plex Sans" w:cs="Arial"/>
                <w:b/>
                <w:bCs/>
                <w:sz w:val="20"/>
                <w:szCs w:val="20"/>
              </w:rPr>
              <w:t>Mesas de diálogo:</w:t>
            </w:r>
            <w:r w:rsidRPr="003B148C">
              <w:rPr>
                <w:rFonts w:ascii="IBM Plex Sans" w:hAnsi="IBM Plex Sans" w:cs="Arial"/>
                <w:sz w:val="20"/>
                <w:szCs w:val="20"/>
              </w:rPr>
              <w:t xml:space="preserve"> la medida promueve la conformación de mesas de diálogo social.</w:t>
            </w:r>
          </w:p>
        </w:tc>
      </w:tr>
      <w:tr w:rsidR="003B148C" w14:paraId="09871616" w14:textId="77777777" w:rsidTr="005078D5">
        <w:tc>
          <w:tcPr>
            <w:cnfStyle w:val="001000000000" w:firstRow="0" w:lastRow="0" w:firstColumn="1" w:lastColumn="0" w:oddVBand="0" w:evenVBand="0" w:oddHBand="0" w:evenHBand="0" w:firstRowFirstColumn="0" w:firstRowLastColumn="0" w:lastRowFirstColumn="0" w:lastRowLastColumn="0"/>
            <w:tcW w:w="2405" w:type="dxa"/>
            <w:vMerge w:val="restart"/>
            <w:shd w:val="clear" w:color="auto" w:fill="002060"/>
          </w:tcPr>
          <w:p w14:paraId="066B5A65" w14:textId="4886BC84" w:rsidR="003B148C" w:rsidRPr="003B148C" w:rsidRDefault="003B148C" w:rsidP="009E56C3">
            <w:pPr>
              <w:rPr>
                <w:rFonts w:ascii="IBM Plex Sans" w:hAnsi="IBM Plex Sans" w:cs="Arial"/>
                <w:sz w:val="20"/>
                <w:szCs w:val="20"/>
              </w:rPr>
            </w:pPr>
            <w:r w:rsidRPr="003B148C">
              <w:rPr>
                <w:rFonts w:ascii="IBM Plex Sans" w:hAnsi="IBM Plex Sans" w:cs="Arial"/>
                <w:sz w:val="20"/>
                <w:szCs w:val="20"/>
              </w:rPr>
              <w:t>Condonación</w:t>
            </w:r>
          </w:p>
        </w:tc>
        <w:tc>
          <w:tcPr>
            <w:tcW w:w="6382" w:type="dxa"/>
          </w:tcPr>
          <w:p w14:paraId="5F779474" w14:textId="006C73BC" w:rsidR="003B148C" w:rsidRPr="009E56C3" w:rsidRDefault="003B148C" w:rsidP="003B148C">
            <w:pPr>
              <w:jc w:val="both"/>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9E56C3">
              <w:rPr>
                <w:rFonts w:ascii="IBM Plex Sans" w:hAnsi="IBM Plex Sans" w:cs="Arial"/>
                <w:b/>
                <w:bCs/>
                <w:sz w:val="20"/>
                <w:szCs w:val="20"/>
              </w:rPr>
              <w:t>Condonación en créditos:</w:t>
            </w:r>
            <w:r w:rsidRPr="009E56C3">
              <w:rPr>
                <w:rFonts w:ascii="IBM Plex Sans" w:hAnsi="IBM Plex Sans" w:cs="Arial"/>
                <w:sz w:val="20"/>
                <w:szCs w:val="20"/>
              </w:rPr>
              <w:t xml:space="preserve"> </w:t>
            </w:r>
            <w:r w:rsidR="0073655A" w:rsidRPr="009E56C3">
              <w:rPr>
                <w:rFonts w:ascii="IBM Plex Sans" w:hAnsi="IBM Plex Sans" w:cs="Arial"/>
                <w:sz w:val="20"/>
                <w:szCs w:val="20"/>
              </w:rPr>
              <w:t>se concede una absolución total o parcial sobre el pago de una deuda</w:t>
            </w:r>
            <w:r w:rsidR="009E56C3" w:rsidRPr="009E56C3">
              <w:rPr>
                <w:rFonts w:ascii="IBM Plex Sans" w:hAnsi="IBM Plex Sans" w:cs="Arial"/>
                <w:sz w:val="20"/>
                <w:szCs w:val="20"/>
              </w:rPr>
              <w:t>. Por ejemplo: r</w:t>
            </w:r>
            <w:r w:rsidR="009E56C3" w:rsidRPr="009E56C3">
              <w:rPr>
                <w:rFonts w:ascii="IBM Plex Sans" w:hAnsi="IBM Plex Sans" w:cs="Arial"/>
                <w:sz w:val="20"/>
                <w:szCs w:val="20"/>
              </w:rPr>
              <w:t>eglamento de condonación de deudas establecerá filtros y requisitos específicos de tramitación para que sean los micro, pequeños y medianos empresarios agropecuarios los principales beneficiarios.</w:t>
            </w:r>
          </w:p>
        </w:tc>
      </w:tr>
      <w:tr w:rsidR="003B148C" w14:paraId="1C99B9B1" w14:textId="77777777" w:rsidTr="0050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shd w:val="clear" w:color="auto" w:fill="002060"/>
          </w:tcPr>
          <w:p w14:paraId="0B4B5511" w14:textId="50E10EE1" w:rsidR="003B148C" w:rsidRPr="003B148C" w:rsidRDefault="003B148C" w:rsidP="009E56C3">
            <w:pPr>
              <w:rPr>
                <w:rFonts w:ascii="IBM Plex Sans" w:hAnsi="IBM Plex Sans" w:cs="Arial"/>
                <w:sz w:val="20"/>
                <w:szCs w:val="20"/>
              </w:rPr>
            </w:pPr>
          </w:p>
        </w:tc>
        <w:tc>
          <w:tcPr>
            <w:tcW w:w="6382" w:type="dxa"/>
          </w:tcPr>
          <w:p w14:paraId="640B3268" w14:textId="07B7518E" w:rsidR="003B148C" w:rsidRPr="003B148C" w:rsidRDefault="003B148C" w:rsidP="003B148C">
            <w:pPr>
              <w:jc w:val="both"/>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3B148C">
              <w:rPr>
                <w:rFonts w:ascii="IBM Plex Sans" w:hAnsi="IBM Plex Sans" w:cs="Arial"/>
                <w:b/>
                <w:bCs/>
                <w:sz w:val="20"/>
                <w:szCs w:val="20"/>
              </w:rPr>
              <w:t>Condonación en trámites:</w:t>
            </w:r>
            <w:r w:rsidRPr="003B148C">
              <w:rPr>
                <w:rFonts w:ascii="IBM Plex Sans" w:hAnsi="IBM Plex Sans" w:cs="Arial"/>
                <w:sz w:val="20"/>
                <w:szCs w:val="20"/>
              </w:rPr>
              <w:t xml:space="preserve"> se concede una absolución total o parcial sobre el cumplimiento de un requisito. Por ejemplo: aplique la excepcionalidad de los cumplimientos de algunos requisitos cuya aplicación no resulten aptos para el estado de emergencia.</w:t>
            </w:r>
          </w:p>
        </w:tc>
      </w:tr>
      <w:tr w:rsidR="009D4848" w14:paraId="0DF35AC1" w14:textId="77777777" w:rsidTr="005078D5">
        <w:tc>
          <w:tcPr>
            <w:cnfStyle w:val="001000000000" w:firstRow="0" w:lastRow="0" w:firstColumn="1" w:lastColumn="0" w:oddVBand="0" w:evenVBand="0" w:oddHBand="0" w:evenHBand="0" w:firstRowFirstColumn="0" w:firstRowLastColumn="0" w:lastRowFirstColumn="0" w:lastRowLastColumn="0"/>
            <w:tcW w:w="2405" w:type="dxa"/>
            <w:vMerge w:val="restart"/>
            <w:shd w:val="clear" w:color="auto" w:fill="002060"/>
          </w:tcPr>
          <w:p w14:paraId="46D1C470" w14:textId="77777777" w:rsidR="009D4848" w:rsidRPr="003B148C" w:rsidRDefault="009D4848" w:rsidP="009E56C3">
            <w:pPr>
              <w:rPr>
                <w:rFonts w:ascii="IBM Plex Sans" w:hAnsi="IBM Plex Sans" w:cs="Arial"/>
                <w:sz w:val="20"/>
                <w:szCs w:val="20"/>
              </w:rPr>
            </w:pPr>
            <w:r w:rsidRPr="003B148C">
              <w:rPr>
                <w:rFonts w:ascii="IBM Plex Sans" w:hAnsi="IBM Plex Sans" w:cs="Arial"/>
                <w:sz w:val="20"/>
                <w:szCs w:val="20"/>
              </w:rPr>
              <w:t>Donación</w:t>
            </w:r>
          </w:p>
        </w:tc>
        <w:tc>
          <w:tcPr>
            <w:tcW w:w="6382" w:type="dxa"/>
          </w:tcPr>
          <w:p w14:paraId="7869CD3B" w14:textId="0EFF89CE" w:rsidR="009D4848" w:rsidRPr="003B148C" w:rsidRDefault="009D4848" w:rsidP="003B148C">
            <w:pPr>
              <w:jc w:val="both"/>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3B148C">
              <w:rPr>
                <w:rFonts w:ascii="IBM Plex Sans" w:hAnsi="IBM Plex Sans" w:cs="Arial"/>
                <w:b/>
                <w:bCs/>
                <w:sz w:val="20"/>
                <w:szCs w:val="20"/>
              </w:rPr>
              <w:t>Donación de equipo médico:</w:t>
            </w:r>
            <w:r w:rsidRPr="003B148C">
              <w:rPr>
                <w:rFonts w:ascii="IBM Plex Sans" w:hAnsi="IBM Plex Sans" w:cs="Arial"/>
                <w:sz w:val="20"/>
                <w:szCs w:val="20"/>
              </w:rPr>
              <w:t xml:space="preserve"> la medida refiere a donaciones de equipos médicos como pruebas de detección, guantes, mascarillas, entre otros; provenientes de países en desarrollo, organizaciones internacionales, instituciones públicas y empresas privadas. Por ejemplo: la República Popular China confirmó que, ante la situación generada por el COVID-19, hará dos importantes donaciones a Costa Rica que se materializarán en los próximos días. La primera donación consistirá en una cantidad importante de kits de pruebas para detectar el COVID-19. Gracias al aporte de la Fundación Jack Ma y de la Fundación Alibaba, se donarán insumos médicos, tales como mascarillas quirúrgicas, kits adicionales de pruebas y cinco máquinas de presión positiva continua de las vías respiratorias.</w:t>
            </w:r>
          </w:p>
        </w:tc>
      </w:tr>
      <w:tr w:rsidR="009D4848" w14:paraId="4FBA8E19" w14:textId="77777777" w:rsidTr="0050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shd w:val="clear" w:color="auto" w:fill="002060"/>
          </w:tcPr>
          <w:p w14:paraId="10BD1E26" w14:textId="77777777" w:rsidR="009D4848" w:rsidRPr="003B148C" w:rsidRDefault="009D4848" w:rsidP="009E56C3">
            <w:pPr>
              <w:rPr>
                <w:rFonts w:ascii="IBM Plex Sans" w:hAnsi="IBM Plex Sans" w:cs="Arial"/>
                <w:sz w:val="20"/>
                <w:szCs w:val="20"/>
              </w:rPr>
            </w:pPr>
          </w:p>
        </w:tc>
        <w:tc>
          <w:tcPr>
            <w:tcW w:w="6382" w:type="dxa"/>
          </w:tcPr>
          <w:p w14:paraId="423A401E" w14:textId="36E72A25" w:rsidR="009D4848" w:rsidRPr="003B148C" w:rsidRDefault="009D4848" w:rsidP="003B148C">
            <w:pPr>
              <w:jc w:val="both"/>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3B148C">
              <w:rPr>
                <w:rFonts w:ascii="IBM Plex Sans" w:hAnsi="IBM Plex Sans" w:cs="Arial"/>
                <w:b/>
                <w:bCs/>
                <w:sz w:val="20"/>
                <w:szCs w:val="20"/>
              </w:rPr>
              <w:t>Donación económica:</w:t>
            </w:r>
            <w:r w:rsidRPr="003B148C">
              <w:rPr>
                <w:rFonts w:ascii="IBM Plex Sans" w:hAnsi="IBM Plex Sans" w:cs="Arial"/>
                <w:sz w:val="20"/>
                <w:szCs w:val="20"/>
              </w:rPr>
              <w:t xml:space="preserve"> la medida refiere a donaciones económicas por parte de países en desarrollo, organizaciones internacionales, instituciones públicas y empresas privadas. Por ejemplo: el Banco Centroamericano de Integración Económica (BCIE) otorgó a Costa Rica una cooperación no reembolsable de $1 millón para atender la emergencia sanitaria en el país, ante la pandemia mundial del coronavirus COVID-19.</w:t>
            </w:r>
          </w:p>
        </w:tc>
      </w:tr>
      <w:tr w:rsidR="009D4848" w14:paraId="5A030B43" w14:textId="77777777" w:rsidTr="005078D5">
        <w:tc>
          <w:tcPr>
            <w:cnfStyle w:val="001000000000" w:firstRow="0" w:lastRow="0" w:firstColumn="1" w:lastColumn="0" w:oddVBand="0" w:evenVBand="0" w:oddHBand="0" w:evenHBand="0" w:firstRowFirstColumn="0" w:firstRowLastColumn="0" w:lastRowFirstColumn="0" w:lastRowLastColumn="0"/>
            <w:tcW w:w="2405" w:type="dxa"/>
            <w:vMerge/>
            <w:shd w:val="clear" w:color="auto" w:fill="002060"/>
          </w:tcPr>
          <w:p w14:paraId="17986280" w14:textId="77777777" w:rsidR="009D4848" w:rsidRPr="003B148C" w:rsidRDefault="009D4848" w:rsidP="009E56C3">
            <w:pPr>
              <w:rPr>
                <w:rFonts w:ascii="IBM Plex Sans" w:hAnsi="IBM Plex Sans" w:cs="Arial"/>
                <w:sz w:val="20"/>
                <w:szCs w:val="20"/>
              </w:rPr>
            </w:pPr>
          </w:p>
        </w:tc>
        <w:tc>
          <w:tcPr>
            <w:tcW w:w="6382" w:type="dxa"/>
          </w:tcPr>
          <w:p w14:paraId="4C07959A" w14:textId="4740E697" w:rsidR="009D4848" w:rsidRPr="003B148C" w:rsidRDefault="009D4848" w:rsidP="003B148C">
            <w:pPr>
              <w:jc w:val="both"/>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3B148C">
              <w:rPr>
                <w:rFonts w:ascii="IBM Plex Sans" w:hAnsi="IBM Plex Sans" w:cs="Arial"/>
                <w:b/>
                <w:bCs/>
                <w:sz w:val="20"/>
                <w:szCs w:val="20"/>
              </w:rPr>
              <w:t>Donaciones de suministros básicos:</w:t>
            </w:r>
            <w:r w:rsidRPr="003B148C">
              <w:rPr>
                <w:rFonts w:ascii="IBM Plex Sans" w:hAnsi="IBM Plex Sans" w:cs="Arial"/>
                <w:sz w:val="20"/>
                <w:szCs w:val="20"/>
              </w:rPr>
              <w:t xml:space="preserve"> la medida refiere a donaciones de suministros básicos como alimentos, suministros de higiene, entre otros, aportados por países en desarrollo, organizaciones internacionales, instituciones públicas y empresas privadas. Por ejemplo: el INA hizo entrega de un donativo de vegetales y verduras a organizaciones de bien social, a través del Banco de Alimentos de Costa Rica como parte de la articulación con el sector público y privado, para responder a las distintas necesidades que demanda la atención de la pandemia.</w:t>
            </w:r>
          </w:p>
        </w:tc>
      </w:tr>
      <w:tr w:rsidR="009D4848" w14:paraId="491B6B84" w14:textId="77777777" w:rsidTr="0050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val="restart"/>
            <w:shd w:val="clear" w:color="auto" w:fill="002060"/>
          </w:tcPr>
          <w:p w14:paraId="65D79F1D" w14:textId="65298B1A" w:rsidR="009D4848" w:rsidRPr="003B148C" w:rsidRDefault="009D4848" w:rsidP="009E56C3">
            <w:pPr>
              <w:rPr>
                <w:rFonts w:ascii="IBM Plex Sans" w:hAnsi="IBM Plex Sans" w:cs="Arial"/>
                <w:sz w:val="20"/>
                <w:szCs w:val="20"/>
              </w:rPr>
            </w:pPr>
            <w:r w:rsidRPr="003B148C">
              <w:rPr>
                <w:rFonts w:ascii="IBM Plex Sans" w:hAnsi="IBM Plex Sans" w:cs="Arial"/>
                <w:sz w:val="20"/>
                <w:szCs w:val="20"/>
              </w:rPr>
              <w:t>Moratoria</w:t>
            </w:r>
          </w:p>
        </w:tc>
        <w:tc>
          <w:tcPr>
            <w:tcW w:w="6382" w:type="dxa"/>
          </w:tcPr>
          <w:p w14:paraId="1C000DBA" w14:textId="28A1F863" w:rsidR="009D4848" w:rsidRPr="003B148C" w:rsidRDefault="009D4848" w:rsidP="003B148C">
            <w:pPr>
              <w:jc w:val="both"/>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3B148C">
              <w:rPr>
                <w:rFonts w:ascii="IBM Plex Sans" w:hAnsi="IBM Plex Sans" w:cs="Arial"/>
                <w:b/>
                <w:bCs/>
                <w:sz w:val="20"/>
                <w:szCs w:val="20"/>
              </w:rPr>
              <w:t xml:space="preserve">Moratoria en </w:t>
            </w:r>
            <w:r w:rsidR="008473D2" w:rsidRPr="003B148C">
              <w:rPr>
                <w:rFonts w:ascii="IBM Plex Sans" w:hAnsi="IBM Plex Sans" w:cs="Arial"/>
                <w:b/>
                <w:bCs/>
                <w:sz w:val="20"/>
                <w:szCs w:val="20"/>
              </w:rPr>
              <w:t>créditos</w:t>
            </w:r>
            <w:r w:rsidRPr="003B148C">
              <w:rPr>
                <w:rFonts w:ascii="IBM Plex Sans" w:hAnsi="IBM Plex Sans" w:cs="Arial"/>
                <w:b/>
                <w:bCs/>
                <w:sz w:val="20"/>
                <w:szCs w:val="20"/>
              </w:rPr>
              <w:t>:</w:t>
            </w:r>
            <w:r w:rsidRPr="003B148C">
              <w:rPr>
                <w:rFonts w:ascii="IBM Plex Sans" w:hAnsi="IBM Plex Sans" w:cs="Arial"/>
                <w:sz w:val="20"/>
                <w:szCs w:val="20"/>
              </w:rPr>
              <w:t xml:space="preserve"> se concede una prórroga en el pago de las deudas. Por ejemplo: con referencia a las tarjetas de crédito, a solicitud de cada cliente se otorgará un periodo de gracia total por un plazo de hasta tres meses. Durante los meses del periodo de gracia total, no se le cobrarán comisiones por atraso o intereses moratorios.</w:t>
            </w:r>
          </w:p>
        </w:tc>
      </w:tr>
      <w:tr w:rsidR="009D4848" w14:paraId="0AE50DBF" w14:textId="77777777" w:rsidTr="005078D5">
        <w:tc>
          <w:tcPr>
            <w:cnfStyle w:val="001000000000" w:firstRow="0" w:lastRow="0" w:firstColumn="1" w:lastColumn="0" w:oddVBand="0" w:evenVBand="0" w:oddHBand="0" w:evenHBand="0" w:firstRowFirstColumn="0" w:firstRowLastColumn="0" w:lastRowFirstColumn="0" w:lastRowLastColumn="0"/>
            <w:tcW w:w="2405" w:type="dxa"/>
            <w:vMerge/>
            <w:shd w:val="clear" w:color="auto" w:fill="002060"/>
          </w:tcPr>
          <w:p w14:paraId="2AA5B326" w14:textId="77777777" w:rsidR="009D4848" w:rsidRPr="003B148C" w:rsidRDefault="009D4848" w:rsidP="009E56C3">
            <w:pPr>
              <w:rPr>
                <w:rFonts w:ascii="IBM Plex Sans" w:hAnsi="IBM Plex Sans" w:cs="Arial"/>
                <w:sz w:val="20"/>
                <w:szCs w:val="20"/>
              </w:rPr>
            </w:pPr>
          </w:p>
        </w:tc>
        <w:tc>
          <w:tcPr>
            <w:tcW w:w="6382" w:type="dxa"/>
          </w:tcPr>
          <w:p w14:paraId="31D67220" w14:textId="484888D3" w:rsidR="009D4848" w:rsidRPr="003B148C" w:rsidRDefault="009D4848" w:rsidP="003B148C">
            <w:pPr>
              <w:jc w:val="both"/>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3B148C">
              <w:rPr>
                <w:rFonts w:ascii="IBM Plex Sans" w:hAnsi="IBM Plex Sans" w:cs="Arial"/>
                <w:b/>
                <w:bCs/>
                <w:sz w:val="20"/>
                <w:szCs w:val="20"/>
              </w:rPr>
              <w:t>Moratoria en servicios públicos:</w:t>
            </w:r>
            <w:r w:rsidRPr="003B148C">
              <w:rPr>
                <w:rFonts w:ascii="IBM Plex Sans" w:hAnsi="IBM Plex Sans" w:cs="Arial"/>
                <w:sz w:val="20"/>
                <w:szCs w:val="20"/>
              </w:rPr>
              <w:t xml:space="preserve"> se concede una prórroga en el pago de servicios públicos, o bien, en la suspensión de servicios públicos por morosidad. Por ejemplo: los clientes comerciales e industriales del Instituto Costarricense de Electricidad (ICE) podrán solicitar el beneficio de pagar la mitad de su consumo de energía durante marzo, abril y mayo. El cobro del 50% restante deberá cancelarse en tractos iguales de julio a diciembre de 2020. Esta moratoria será para la totalidad del sector industrial; para el comercial, con un consumo igual o superior a los 2.000 kilovatios hora mensuales.</w:t>
            </w:r>
          </w:p>
        </w:tc>
      </w:tr>
      <w:tr w:rsidR="009D4848" w14:paraId="637B8731" w14:textId="77777777" w:rsidTr="0050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shd w:val="clear" w:color="auto" w:fill="002060"/>
          </w:tcPr>
          <w:p w14:paraId="07F54C44" w14:textId="77777777" w:rsidR="009D4848" w:rsidRPr="003B148C" w:rsidRDefault="009D4848" w:rsidP="009E56C3">
            <w:pPr>
              <w:rPr>
                <w:rFonts w:ascii="IBM Plex Sans" w:hAnsi="IBM Plex Sans" w:cs="Arial"/>
                <w:sz w:val="20"/>
                <w:szCs w:val="20"/>
              </w:rPr>
            </w:pPr>
          </w:p>
        </w:tc>
        <w:tc>
          <w:tcPr>
            <w:tcW w:w="6382" w:type="dxa"/>
          </w:tcPr>
          <w:p w14:paraId="687B7670" w14:textId="31F28274" w:rsidR="009D4848" w:rsidRPr="003B148C" w:rsidRDefault="009D4848" w:rsidP="003B148C">
            <w:pPr>
              <w:jc w:val="both"/>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3B148C">
              <w:rPr>
                <w:rFonts w:ascii="IBM Plex Sans" w:hAnsi="IBM Plex Sans" w:cs="Arial"/>
                <w:b/>
                <w:bCs/>
                <w:sz w:val="20"/>
                <w:szCs w:val="20"/>
              </w:rPr>
              <w:t xml:space="preserve">Moratoria en trámites: </w:t>
            </w:r>
            <w:r w:rsidRPr="003B148C">
              <w:rPr>
                <w:rFonts w:ascii="IBM Plex Sans" w:hAnsi="IBM Plex Sans" w:cs="Arial"/>
                <w:sz w:val="20"/>
                <w:szCs w:val="20"/>
              </w:rPr>
              <w:t>se concede una prórroga en el plazo de vigencia de certificaciones, permisos y concesiones. Por ejemplo: se prorroga, hasta el 31 de julio de 2020, la fecha de vigencia de las cédulas de identidad que hayan vencido o venzan dentro del período comprendido entre el 4 de febrero y el 30 de julio, ambas fechas del 2020.</w:t>
            </w:r>
          </w:p>
        </w:tc>
      </w:tr>
      <w:tr w:rsidR="009D4848" w14:paraId="77673887" w14:textId="77777777" w:rsidTr="005078D5">
        <w:tc>
          <w:tcPr>
            <w:cnfStyle w:val="001000000000" w:firstRow="0" w:lastRow="0" w:firstColumn="1" w:lastColumn="0" w:oddVBand="0" w:evenVBand="0" w:oddHBand="0" w:evenHBand="0" w:firstRowFirstColumn="0" w:firstRowLastColumn="0" w:lastRowFirstColumn="0" w:lastRowLastColumn="0"/>
            <w:tcW w:w="2405" w:type="dxa"/>
            <w:vMerge/>
            <w:shd w:val="clear" w:color="auto" w:fill="002060"/>
          </w:tcPr>
          <w:p w14:paraId="2CCD1849" w14:textId="77777777" w:rsidR="009D4848" w:rsidRPr="003B148C" w:rsidRDefault="009D4848" w:rsidP="009E56C3">
            <w:pPr>
              <w:rPr>
                <w:rFonts w:ascii="IBM Plex Sans" w:hAnsi="IBM Plex Sans" w:cs="Arial"/>
                <w:sz w:val="20"/>
                <w:szCs w:val="20"/>
              </w:rPr>
            </w:pPr>
          </w:p>
        </w:tc>
        <w:tc>
          <w:tcPr>
            <w:tcW w:w="6382" w:type="dxa"/>
          </w:tcPr>
          <w:p w14:paraId="53296DD4" w14:textId="360B09FC" w:rsidR="009D4848" w:rsidRPr="003B148C" w:rsidRDefault="009D4848" w:rsidP="003B148C">
            <w:pPr>
              <w:jc w:val="both"/>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3B148C">
              <w:rPr>
                <w:rFonts w:ascii="IBM Plex Sans" w:hAnsi="IBM Plex Sans" w:cs="Arial"/>
                <w:b/>
                <w:bCs/>
                <w:sz w:val="20"/>
                <w:szCs w:val="20"/>
              </w:rPr>
              <w:t>Moratoria fiscal:</w:t>
            </w:r>
            <w:r w:rsidRPr="003B148C">
              <w:rPr>
                <w:rFonts w:ascii="IBM Plex Sans" w:hAnsi="IBM Plex Sans" w:cs="Arial"/>
                <w:sz w:val="20"/>
                <w:szCs w:val="20"/>
              </w:rPr>
              <w:t xml:space="preserve"> se concede una prórroga en el pago de las obligaciones fiscales. Por ejemplo: los contribuyentes del Impuesto al Valor Agregado (IVA) deberán presentar, durante los meses de abril, mayo y junio de 2020, las declaraciones de impuesto de los períodos de marzo, abril y mayo, y podrán no efectuar el pago del Impuesto al Valor Agregado (IVA).</w:t>
            </w:r>
          </w:p>
        </w:tc>
      </w:tr>
      <w:tr w:rsidR="009D4848" w14:paraId="697B1D37" w14:textId="77777777" w:rsidTr="0050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val="restart"/>
            <w:shd w:val="clear" w:color="auto" w:fill="002060"/>
          </w:tcPr>
          <w:p w14:paraId="474A4F0D" w14:textId="2482B949" w:rsidR="009D4848" w:rsidRPr="003B148C" w:rsidRDefault="009D4848" w:rsidP="009E56C3">
            <w:pPr>
              <w:rPr>
                <w:rFonts w:ascii="IBM Plex Sans" w:hAnsi="IBM Plex Sans" w:cs="Arial"/>
                <w:sz w:val="20"/>
                <w:szCs w:val="20"/>
              </w:rPr>
            </w:pPr>
            <w:r w:rsidRPr="003B148C">
              <w:rPr>
                <w:rFonts w:ascii="IBM Plex Sans" w:hAnsi="IBM Plex Sans" w:cs="Arial"/>
                <w:sz w:val="20"/>
                <w:szCs w:val="20"/>
              </w:rPr>
              <w:t>Nuevos productos</w:t>
            </w:r>
          </w:p>
        </w:tc>
        <w:tc>
          <w:tcPr>
            <w:tcW w:w="6382" w:type="dxa"/>
          </w:tcPr>
          <w:p w14:paraId="08C78662" w14:textId="6FA2871F" w:rsidR="009D4848" w:rsidRPr="003B148C" w:rsidRDefault="009D4848" w:rsidP="003B148C">
            <w:pPr>
              <w:jc w:val="both"/>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3B148C">
              <w:rPr>
                <w:rFonts w:ascii="IBM Plex Sans" w:hAnsi="IBM Plex Sans" w:cs="Arial"/>
                <w:b/>
                <w:bCs/>
                <w:sz w:val="20"/>
                <w:szCs w:val="20"/>
              </w:rPr>
              <w:t>Aplicaciones y plataformas tecnológicas:</w:t>
            </w:r>
            <w:r w:rsidRPr="003B148C">
              <w:rPr>
                <w:rFonts w:ascii="IBM Plex Sans" w:hAnsi="IBM Plex Sans" w:cs="Arial"/>
                <w:sz w:val="20"/>
                <w:szCs w:val="20"/>
              </w:rPr>
              <w:t xml:space="preserve"> corresponde a las nuevas aplicaciones y plataformas tecnológicas por parte de las instituciones públicas. Por ejemplo: se habilita una plataforma tecnológica de manera gratuita para los funcionarios públicos en teletrabajo. Esta solución permite, la realización de conferencias virtuales, sesiones de video múltiples, conferencias en audio y mensajería instantánea, entre otras facilidades, para que el desempeño de las funciones diarias no se vea alterado. Se administran las licencias para las instituciones gubernamentales que lo requieran, gratuitamente por 90 días.</w:t>
            </w:r>
          </w:p>
        </w:tc>
      </w:tr>
      <w:tr w:rsidR="009D4848" w14:paraId="52F240BD" w14:textId="77777777" w:rsidTr="005078D5">
        <w:tc>
          <w:tcPr>
            <w:cnfStyle w:val="001000000000" w:firstRow="0" w:lastRow="0" w:firstColumn="1" w:lastColumn="0" w:oddVBand="0" w:evenVBand="0" w:oddHBand="0" w:evenHBand="0" w:firstRowFirstColumn="0" w:firstRowLastColumn="0" w:lastRowFirstColumn="0" w:lastRowLastColumn="0"/>
            <w:tcW w:w="2405" w:type="dxa"/>
            <w:vMerge/>
            <w:shd w:val="clear" w:color="auto" w:fill="002060"/>
          </w:tcPr>
          <w:p w14:paraId="0E681D78" w14:textId="77777777" w:rsidR="009D4848" w:rsidRPr="003B148C" w:rsidRDefault="009D4848" w:rsidP="009E56C3">
            <w:pPr>
              <w:rPr>
                <w:rFonts w:ascii="IBM Plex Sans" w:hAnsi="IBM Plex Sans" w:cs="Arial"/>
                <w:sz w:val="20"/>
                <w:szCs w:val="20"/>
              </w:rPr>
            </w:pPr>
          </w:p>
        </w:tc>
        <w:tc>
          <w:tcPr>
            <w:tcW w:w="6382" w:type="dxa"/>
          </w:tcPr>
          <w:p w14:paraId="4B3F3572" w14:textId="469E80C5" w:rsidR="009D4848" w:rsidRPr="003B148C" w:rsidRDefault="00C57EE4" w:rsidP="003B148C">
            <w:pPr>
              <w:jc w:val="both"/>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3B148C">
              <w:rPr>
                <w:rFonts w:ascii="IBM Plex Sans" w:hAnsi="IBM Plex Sans" w:cs="Arial"/>
                <w:b/>
                <w:bCs/>
                <w:sz w:val="20"/>
                <w:szCs w:val="20"/>
              </w:rPr>
              <w:t>Campañas y materiales informativos:</w:t>
            </w:r>
            <w:r w:rsidRPr="003B148C">
              <w:rPr>
                <w:rFonts w:ascii="IBM Plex Sans" w:hAnsi="IBM Plex Sans" w:cs="Arial"/>
                <w:sz w:val="20"/>
                <w:szCs w:val="20"/>
              </w:rPr>
              <w:t xml:space="preserve"> corresponde a las nuevas campañas y materiales informativos por parte de las instituciones públicas. Por ejemplo: el Gobierno de Costa Rica y el Sistema de las Naciones Unidas presentaron hoy el libro infantil “Los días que todo se detuvo”, con el objetivo de llevar la información oficial sobre la COVID-19 a </w:t>
            </w:r>
            <w:proofErr w:type="gramStart"/>
            <w:r w:rsidRPr="003B148C">
              <w:rPr>
                <w:rFonts w:ascii="IBM Plex Sans" w:hAnsi="IBM Plex Sans" w:cs="Arial"/>
                <w:sz w:val="20"/>
                <w:szCs w:val="20"/>
              </w:rPr>
              <w:t>las niñas y niños</w:t>
            </w:r>
            <w:proofErr w:type="gramEnd"/>
            <w:r w:rsidRPr="003B148C">
              <w:rPr>
                <w:rFonts w:ascii="IBM Plex Sans" w:hAnsi="IBM Plex Sans" w:cs="Arial"/>
                <w:sz w:val="20"/>
                <w:szCs w:val="20"/>
              </w:rPr>
              <w:t xml:space="preserve"> más pequeños en Costa Rica, así como las medidas que debemos tomar para protegerles, de una manera educativa y entretenida.</w:t>
            </w:r>
          </w:p>
        </w:tc>
      </w:tr>
      <w:tr w:rsidR="009D4848" w14:paraId="0811DC9A" w14:textId="77777777" w:rsidTr="0050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shd w:val="clear" w:color="auto" w:fill="002060"/>
          </w:tcPr>
          <w:p w14:paraId="51C2E17A" w14:textId="77777777" w:rsidR="009D4848" w:rsidRPr="003B148C" w:rsidRDefault="009D4848" w:rsidP="009E56C3">
            <w:pPr>
              <w:rPr>
                <w:rFonts w:ascii="IBM Plex Sans" w:hAnsi="IBM Plex Sans" w:cs="Arial"/>
                <w:sz w:val="20"/>
                <w:szCs w:val="20"/>
              </w:rPr>
            </w:pPr>
          </w:p>
        </w:tc>
        <w:tc>
          <w:tcPr>
            <w:tcW w:w="6382" w:type="dxa"/>
          </w:tcPr>
          <w:p w14:paraId="3C50EFF2" w14:textId="72AFBA10" w:rsidR="009D4848" w:rsidRPr="003B148C" w:rsidRDefault="00C57EE4" w:rsidP="003B148C">
            <w:pPr>
              <w:jc w:val="both"/>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3B148C">
              <w:rPr>
                <w:rFonts w:ascii="IBM Plex Sans" w:hAnsi="IBM Plex Sans" w:cs="Arial"/>
                <w:b/>
                <w:bCs/>
                <w:sz w:val="20"/>
                <w:szCs w:val="20"/>
              </w:rPr>
              <w:t>Investigación y desarrollo:</w:t>
            </w:r>
            <w:r w:rsidRPr="003B148C">
              <w:rPr>
                <w:rFonts w:ascii="IBM Plex Sans" w:hAnsi="IBM Plex Sans" w:cs="Arial"/>
                <w:sz w:val="20"/>
                <w:szCs w:val="20"/>
              </w:rPr>
              <w:t xml:space="preserve"> corresponde a las nuevas investigaciones y desarrollos por parte de las instituciones públicas en equipo médico, en protección, medicamentos, entre otros. Por ejemplo: un grupo de ingenieros, físicos y profesores de Artes Plásticas de la Universidad de Costa Rica (UCR) logró construir un respirador de emergencia para pacientes con COVID-19. Este podría ser usado de forma libre en el país en la atención primaria. En un tiempo récord y dedicando muchas horas al día, los especialistas empezaron a trabajar el fin de semana pasado y ya lograron obtener el primer prototipo, al que denominaron Respira UCR. Para ello, se basaron en la idea de unos jóvenes ingenieros de España, quienes construyeron de forma casera un respirador en madera.</w:t>
            </w:r>
          </w:p>
        </w:tc>
      </w:tr>
      <w:tr w:rsidR="009D4848" w14:paraId="138225B9" w14:textId="77777777" w:rsidTr="005078D5">
        <w:tc>
          <w:tcPr>
            <w:cnfStyle w:val="001000000000" w:firstRow="0" w:lastRow="0" w:firstColumn="1" w:lastColumn="0" w:oddVBand="0" w:evenVBand="0" w:oddHBand="0" w:evenHBand="0" w:firstRowFirstColumn="0" w:firstRowLastColumn="0" w:lastRowFirstColumn="0" w:lastRowLastColumn="0"/>
            <w:tcW w:w="2405" w:type="dxa"/>
            <w:vMerge/>
            <w:shd w:val="clear" w:color="auto" w:fill="002060"/>
          </w:tcPr>
          <w:p w14:paraId="068070D4" w14:textId="77777777" w:rsidR="009D4848" w:rsidRPr="003B148C" w:rsidRDefault="009D4848" w:rsidP="009E56C3">
            <w:pPr>
              <w:rPr>
                <w:rFonts w:ascii="IBM Plex Sans" w:hAnsi="IBM Plex Sans" w:cs="Arial"/>
                <w:sz w:val="20"/>
                <w:szCs w:val="20"/>
              </w:rPr>
            </w:pPr>
          </w:p>
        </w:tc>
        <w:tc>
          <w:tcPr>
            <w:tcW w:w="6382" w:type="dxa"/>
          </w:tcPr>
          <w:p w14:paraId="08753515" w14:textId="1E20427D" w:rsidR="009D4848" w:rsidRPr="003B148C" w:rsidRDefault="00C57EE4" w:rsidP="003B148C">
            <w:pPr>
              <w:jc w:val="both"/>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3B148C">
              <w:rPr>
                <w:rFonts w:ascii="IBM Plex Sans" w:hAnsi="IBM Plex Sans" w:cs="Arial"/>
                <w:b/>
                <w:bCs/>
                <w:sz w:val="20"/>
                <w:szCs w:val="20"/>
              </w:rPr>
              <w:t>Otros productos:</w:t>
            </w:r>
            <w:r w:rsidRPr="003B148C">
              <w:rPr>
                <w:rFonts w:ascii="IBM Plex Sans" w:hAnsi="IBM Plex Sans" w:cs="Arial"/>
                <w:sz w:val="20"/>
                <w:szCs w:val="20"/>
              </w:rPr>
              <w:t xml:space="preserve"> corresponde a productos que no calcen en ninguna de las opciones anteriores.</w:t>
            </w:r>
          </w:p>
        </w:tc>
      </w:tr>
      <w:tr w:rsidR="00C57EE4" w14:paraId="425C7328" w14:textId="77777777" w:rsidTr="0050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val="restart"/>
            <w:shd w:val="clear" w:color="auto" w:fill="002060"/>
          </w:tcPr>
          <w:p w14:paraId="1A8F1644" w14:textId="51C968BD" w:rsidR="00C57EE4" w:rsidRPr="003B148C" w:rsidRDefault="00C57EE4" w:rsidP="009E56C3">
            <w:pPr>
              <w:rPr>
                <w:rFonts w:ascii="IBM Plex Sans" w:hAnsi="IBM Plex Sans" w:cs="Arial"/>
                <w:sz w:val="20"/>
                <w:szCs w:val="20"/>
              </w:rPr>
            </w:pPr>
            <w:r w:rsidRPr="003B148C">
              <w:rPr>
                <w:rFonts w:ascii="IBM Plex Sans" w:hAnsi="IBM Plex Sans" w:cs="Arial"/>
                <w:sz w:val="20"/>
                <w:szCs w:val="20"/>
              </w:rPr>
              <w:t>Nuevos servicios</w:t>
            </w:r>
          </w:p>
        </w:tc>
        <w:tc>
          <w:tcPr>
            <w:tcW w:w="6382" w:type="dxa"/>
          </w:tcPr>
          <w:p w14:paraId="7E55F31C" w14:textId="6D8CC786" w:rsidR="00C57EE4" w:rsidRPr="003B148C" w:rsidRDefault="00C57EE4" w:rsidP="003B148C">
            <w:pPr>
              <w:jc w:val="both"/>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3B148C">
              <w:rPr>
                <w:rFonts w:ascii="IBM Plex Sans" w:hAnsi="IBM Plex Sans" w:cs="Arial"/>
                <w:b/>
                <w:bCs/>
                <w:sz w:val="20"/>
                <w:szCs w:val="20"/>
              </w:rPr>
              <w:t>Atención a usuarios y virtualización de trámites y servicios:</w:t>
            </w:r>
            <w:r w:rsidRPr="003B148C">
              <w:rPr>
                <w:rFonts w:ascii="IBM Plex Sans" w:hAnsi="IBM Plex Sans" w:cs="Arial"/>
                <w:sz w:val="20"/>
                <w:szCs w:val="20"/>
              </w:rPr>
              <w:t xml:space="preserve"> corresponde a los nuevos servicios en la atención a usuarios, clientes y pacientes; además de la virtualización de trámites y servicios por parte de las instituciones públicas. Por ejemplo: a través de la línea gratuita 1322 se le estará brindando atención y acompañamiento psicológico a las personas adultas mayores, esto gracias al trabajo conjunto con el Colegio de Psicólogos. La Caja Costarricense de Seguro Social (CCSS) desde la Dirección de Red de Servicios de Salud de la Gerencia Médica da seguimiento telefónico y acompañamiento en territorio a la población adulta mayor.</w:t>
            </w:r>
          </w:p>
        </w:tc>
      </w:tr>
      <w:tr w:rsidR="00C57EE4" w14:paraId="78BFF56C" w14:textId="77777777" w:rsidTr="005078D5">
        <w:tc>
          <w:tcPr>
            <w:cnfStyle w:val="001000000000" w:firstRow="0" w:lastRow="0" w:firstColumn="1" w:lastColumn="0" w:oddVBand="0" w:evenVBand="0" w:oddHBand="0" w:evenHBand="0" w:firstRowFirstColumn="0" w:firstRowLastColumn="0" w:lastRowFirstColumn="0" w:lastRowLastColumn="0"/>
            <w:tcW w:w="2405" w:type="dxa"/>
            <w:vMerge/>
            <w:shd w:val="clear" w:color="auto" w:fill="002060"/>
          </w:tcPr>
          <w:p w14:paraId="593099CB" w14:textId="77777777" w:rsidR="00C57EE4" w:rsidRPr="003B148C" w:rsidRDefault="00C57EE4" w:rsidP="009E56C3">
            <w:pPr>
              <w:rPr>
                <w:rFonts w:ascii="IBM Plex Sans" w:hAnsi="IBM Plex Sans" w:cs="Arial"/>
                <w:sz w:val="20"/>
                <w:szCs w:val="20"/>
              </w:rPr>
            </w:pPr>
          </w:p>
        </w:tc>
        <w:tc>
          <w:tcPr>
            <w:tcW w:w="6382" w:type="dxa"/>
          </w:tcPr>
          <w:p w14:paraId="3888F230" w14:textId="7A411DB3" w:rsidR="00C57EE4" w:rsidRPr="003B148C" w:rsidRDefault="00C57EE4" w:rsidP="003B148C">
            <w:pPr>
              <w:jc w:val="both"/>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3B148C">
              <w:rPr>
                <w:rFonts w:ascii="IBM Plex Sans" w:hAnsi="IBM Plex Sans" w:cs="Arial"/>
                <w:b/>
                <w:bCs/>
                <w:sz w:val="20"/>
                <w:szCs w:val="20"/>
              </w:rPr>
              <w:t>Capacitaciones:</w:t>
            </w:r>
            <w:r w:rsidRPr="003B148C">
              <w:rPr>
                <w:rFonts w:ascii="IBM Plex Sans" w:hAnsi="IBM Plex Sans" w:cs="Arial"/>
                <w:sz w:val="20"/>
                <w:szCs w:val="20"/>
              </w:rPr>
              <w:t xml:space="preserve"> corresponde a las nuevas capacitaciones por parte de las instituciones públicas. Por ejemplo: ofrecer servicios de Desarrollo Empresarial para la capacitación de empresas de cara a volver a reintegrarse en la actividad económica una vez pasado el periodo de crisis.</w:t>
            </w:r>
          </w:p>
        </w:tc>
      </w:tr>
      <w:tr w:rsidR="00C57EE4" w14:paraId="5B871B70" w14:textId="77777777" w:rsidTr="0050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shd w:val="clear" w:color="auto" w:fill="002060"/>
          </w:tcPr>
          <w:p w14:paraId="2DAA1E78" w14:textId="77777777" w:rsidR="00C57EE4" w:rsidRPr="003B148C" w:rsidRDefault="00C57EE4" w:rsidP="009E56C3">
            <w:pPr>
              <w:rPr>
                <w:rFonts w:ascii="IBM Plex Sans" w:hAnsi="IBM Plex Sans" w:cs="Arial"/>
                <w:sz w:val="20"/>
                <w:szCs w:val="20"/>
              </w:rPr>
            </w:pPr>
          </w:p>
        </w:tc>
        <w:tc>
          <w:tcPr>
            <w:tcW w:w="6382" w:type="dxa"/>
          </w:tcPr>
          <w:p w14:paraId="725FAD45" w14:textId="74F03633" w:rsidR="00C57EE4" w:rsidRPr="003B148C" w:rsidRDefault="00C57EE4" w:rsidP="003B148C">
            <w:pPr>
              <w:jc w:val="both"/>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3B148C">
              <w:rPr>
                <w:rFonts w:ascii="IBM Plex Sans" w:hAnsi="IBM Plex Sans" w:cs="Arial"/>
                <w:b/>
                <w:bCs/>
                <w:sz w:val="20"/>
                <w:szCs w:val="20"/>
              </w:rPr>
              <w:t>Operaciones de vigilancia y de limpieza:</w:t>
            </w:r>
            <w:r w:rsidRPr="003B148C">
              <w:rPr>
                <w:rFonts w:ascii="IBM Plex Sans" w:hAnsi="IBM Plex Sans" w:cs="Arial"/>
                <w:sz w:val="20"/>
                <w:szCs w:val="20"/>
              </w:rPr>
              <w:t xml:space="preserve"> corresponde a las nuevas operaciones de vigilancia y limpieza por parte de las instituciones públicas. Por ejemplo: se actualizaron los procedimientos de operación estándar para la limpieza y desinfección de vagones de trenes, así como las estaciones principales de trenes, aumentando la frecuencia de limpieza en cada uno de los trenes y vagones, realizando estas tareas en tres tiempos: madrugadas antes del inicio de la operación, en las mañanas después de los servicios matutinos y en las noches después de finalizados los servicios.</w:t>
            </w:r>
          </w:p>
        </w:tc>
      </w:tr>
      <w:tr w:rsidR="00C57EE4" w14:paraId="1C708044" w14:textId="77777777" w:rsidTr="005078D5">
        <w:tc>
          <w:tcPr>
            <w:cnfStyle w:val="001000000000" w:firstRow="0" w:lastRow="0" w:firstColumn="1" w:lastColumn="0" w:oddVBand="0" w:evenVBand="0" w:oddHBand="0" w:evenHBand="0" w:firstRowFirstColumn="0" w:firstRowLastColumn="0" w:lastRowFirstColumn="0" w:lastRowLastColumn="0"/>
            <w:tcW w:w="2405" w:type="dxa"/>
            <w:vMerge/>
            <w:shd w:val="clear" w:color="auto" w:fill="002060"/>
          </w:tcPr>
          <w:p w14:paraId="1BCD6679" w14:textId="77777777" w:rsidR="00C57EE4" w:rsidRPr="003B148C" w:rsidRDefault="00C57EE4" w:rsidP="009E56C3">
            <w:pPr>
              <w:rPr>
                <w:rFonts w:ascii="IBM Plex Sans" w:hAnsi="IBM Plex Sans" w:cs="Arial"/>
                <w:sz w:val="20"/>
                <w:szCs w:val="20"/>
              </w:rPr>
            </w:pPr>
          </w:p>
        </w:tc>
        <w:tc>
          <w:tcPr>
            <w:tcW w:w="6382" w:type="dxa"/>
          </w:tcPr>
          <w:p w14:paraId="31E0E9A7" w14:textId="37C923BA" w:rsidR="00C57EE4" w:rsidRPr="003B148C" w:rsidRDefault="00C57EE4" w:rsidP="003B148C">
            <w:pPr>
              <w:jc w:val="both"/>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3B148C">
              <w:rPr>
                <w:rFonts w:ascii="IBM Plex Sans" w:hAnsi="IBM Plex Sans" w:cs="Arial"/>
                <w:b/>
                <w:bCs/>
                <w:sz w:val="20"/>
                <w:szCs w:val="20"/>
              </w:rPr>
              <w:t>Otros servicios:</w:t>
            </w:r>
            <w:r w:rsidRPr="003B148C">
              <w:rPr>
                <w:rFonts w:ascii="IBM Plex Sans" w:hAnsi="IBM Plex Sans" w:cs="Arial"/>
                <w:sz w:val="20"/>
                <w:szCs w:val="20"/>
              </w:rPr>
              <w:t xml:space="preserve"> corresponde a servicios que no calcen en ninguna de las opciones anteriores.</w:t>
            </w:r>
          </w:p>
        </w:tc>
      </w:tr>
      <w:tr w:rsidR="00C57EE4" w14:paraId="241FFCDA" w14:textId="77777777" w:rsidTr="0050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val="restart"/>
            <w:shd w:val="clear" w:color="auto" w:fill="002060"/>
          </w:tcPr>
          <w:p w14:paraId="6CD4A8B2" w14:textId="33E43CF2" w:rsidR="00C57EE4" w:rsidRPr="003B148C" w:rsidRDefault="00222C4F" w:rsidP="009E56C3">
            <w:pPr>
              <w:rPr>
                <w:rFonts w:ascii="IBM Plex Sans" w:hAnsi="IBM Plex Sans" w:cs="Arial"/>
                <w:sz w:val="20"/>
                <w:szCs w:val="20"/>
              </w:rPr>
            </w:pPr>
            <w:r w:rsidRPr="003B148C">
              <w:rPr>
                <w:rFonts w:ascii="IBM Plex Sans" w:hAnsi="IBM Plex Sans" w:cs="Arial"/>
                <w:sz w:val="20"/>
                <w:szCs w:val="20"/>
              </w:rPr>
              <w:t>Créditos</w:t>
            </w:r>
            <w:r w:rsidR="00C57EE4" w:rsidRPr="003B148C">
              <w:rPr>
                <w:rFonts w:ascii="IBM Plex Sans" w:hAnsi="IBM Plex Sans" w:cs="Arial"/>
                <w:sz w:val="20"/>
                <w:szCs w:val="20"/>
              </w:rPr>
              <w:t xml:space="preserve"> al Estado</w:t>
            </w:r>
          </w:p>
        </w:tc>
        <w:tc>
          <w:tcPr>
            <w:tcW w:w="6382" w:type="dxa"/>
          </w:tcPr>
          <w:p w14:paraId="3558A0DD" w14:textId="49127F89" w:rsidR="00C57EE4" w:rsidRPr="003B148C" w:rsidRDefault="00C57EE4" w:rsidP="003B148C">
            <w:pPr>
              <w:jc w:val="both"/>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3B148C">
              <w:rPr>
                <w:rFonts w:ascii="IBM Plex Sans" w:hAnsi="IBM Plex Sans" w:cs="Arial"/>
                <w:b/>
                <w:bCs/>
                <w:sz w:val="20"/>
                <w:szCs w:val="20"/>
              </w:rPr>
              <w:t>Modificación de los</w:t>
            </w:r>
            <w:r w:rsidR="008A15EE" w:rsidRPr="003B148C">
              <w:rPr>
                <w:rFonts w:ascii="IBM Plex Sans" w:hAnsi="IBM Plex Sans" w:cs="Arial"/>
                <w:b/>
                <w:bCs/>
                <w:sz w:val="20"/>
                <w:szCs w:val="20"/>
              </w:rPr>
              <w:t xml:space="preserve"> créditos</w:t>
            </w:r>
            <w:r w:rsidRPr="003B148C">
              <w:rPr>
                <w:rFonts w:ascii="IBM Plex Sans" w:hAnsi="IBM Plex Sans" w:cs="Arial"/>
                <w:b/>
                <w:bCs/>
                <w:sz w:val="20"/>
                <w:szCs w:val="20"/>
              </w:rPr>
              <w:t xml:space="preserve"> existentes:</w:t>
            </w:r>
            <w:r w:rsidRPr="003B148C">
              <w:rPr>
                <w:rFonts w:ascii="IBM Plex Sans" w:hAnsi="IBM Plex Sans" w:cs="Arial"/>
                <w:sz w:val="20"/>
                <w:szCs w:val="20"/>
              </w:rPr>
              <w:t xml:space="preserve"> la medida refiere a la modificación de los </w:t>
            </w:r>
            <w:r w:rsidR="008A15EE" w:rsidRPr="003B148C">
              <w:rPr>
                <w:rFonts w:ascii="IBM Plex Sans" w:hAnsi="IBM Plex Sans" w:cs="Arial"/>
                <w:sz w:val="20"/>
                <w:szCs w:val="20"/>
              </w:rPr>
              <w:t>crédit</w:t>
            </w:r>
            <w:r w:rsidRPr="003B148C">
              <w:rPr>
                <w:rFonts w:ascii="IBM Plex Sans" w:hAnsi="IBM Plex Sans" w:cs="Arial"/>
                <w:sz w:val="20"/>
                <w:szCs w:val="20"/>
              </w:rPr>
              <w:t>os existentes por parte del Estado costarricense para enfrentar la emergencia generada por el COVID-19.</w:t>
            </w:r>
          </w:p>
        </w:tc>
      </w:tr>
      <w:tr w:rsidR="00C57EE4" w14:paraId="3DD874E5" w14:textId="77777777" w:rsidTr="005078D5">
        <w:tc>
          <w:tcPr>
            <w:cnfStyle w:val="001000000000" w:firstRow="0" w:lastRow="0" w:firstColumn="1" w:lastColumn="0" w:oddVBand="0" w:evenVBand="0" w:oddHBand="0" w:evenHBand="0" w:firstRowFirstColumn="0" w:firstRowLastColumn="0" w:lastRowFirstColumn="0" w:lastRowLastColumn="0"/>
            <w:tcW w:w="2405" w:type="dxa"/>
            <w:vMerge/>
            <w:shd w:val="clear" w:color="auto" w:fill="002060"/>
          </w:tcPr>
          <w:p w14:paraId="1E314E1B" w14:textId="77777777" w:rsidR="00C57EE4" w:rsidRPr="003B148C" w:rsidRDefault="00C57EE4" w:rsidP="009E56C3">
            <w:pPr>
              <w:rPr>
                <w:rFonts w:ascii="IBM Plex Sans" w:hAnsi="IBM Plex Sans" w:cs="Arial"/>
                <w:sz w:val="20"/>
                <w:szCs w:val="20"/>
              </w:rPr>
            </w:pPr>
          </w:p>
        </w:tc>
        <w:tc>
          <w:tcPr>
            <w:tcW w:w="6382" w:type="dxa"/>
          </w:tcPr>
          <w:p w14:paraId="648E301B" w14:textId="21CBBB92" w:rsidR="00C57EE4" w:rsidRPr="003B148C" w:rsidRDefault="00C57EE4" w:rsidP="003B148C">
            <w:pPr>
              <w:jc w:val="both"/>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3B148C">
              <w:rPr>
                <w:rFonts w:ascii="IBM Plex Sans" w:hAnsi="IBM Plex Sans" w:cs="Arial"/>
                <w:b/>
                <w:bCs/>
                <w:sz w:val="20"/>
                <w:szCs w:val="20"/>
              </w:rPr>
              <w:t xml:space="preserve">Adquisición de nuevos </w:t>
            </w:r>
            <w:r w:rsidR="00ED71A5" w:rsidRPr="003B148C">
              <w:rPr>
                <w:rFonts w:ascii="IBM Plex Sans" w:hAnsi="IBM Plex Sans" w:cs="Arial"/>
                <w:b/>
                <w:bCs/>
                <w:sz w:val="20"/>
                <w:szCs w:val="20"/>
              </w:rPr>
              <w:t>créditos</w:t>
            </w:r>
            <w:r w:rsidRPr="003B148C">
              <w:rPr>
                <w:rFonts w:ascii="IBM Plex Sans" w:hAnsi="IBM Plex Sans" w:cs="Arial"/>
                <w:b/>
                <w:bCs/>
                <w:sz w:val="20"/>
                <w:szCs w:val="20"/>
              </w:rPr>
              <w:t>:</w:t>
            </w:r>
            <w:r w:rsidRPr="003B148C">
              <w:rPr>
                <w:rFonts w:ascii="IBM Plex Sans" w:hAnsi="IBM Plex Sans" w:cs="Arial"/>
                <w:sz w:val="20"/>
                <w:szCs w:val="20"/>
              </w:rPr>
              <w:t xml:space="preserve"> la medida refiere a la adquisición de nuevos </w:t>
            </w:r>
            <w:r w:rsidR="00ED71A5" w:rsidRPr="003B148C">
              <w:rPr>
                <w:rFonts w:ascii="IBM Plex Sans" w:hAnsi="IBM Plex Sans" w:cs="Arial"/>
                <w:sz w:val="20"/>
                <w:szCs w:val="20"/>
              </w:rPr>
              <w:t>créditos</w:t>
            </w:r>
            <w:r w:rsidRPr="003B148C">
              <w:rPr>
                <w:rFonts w:ascii="IBM Plex Sans" w:hAnsi="IBM Plex Sans" w:cs="Arial"/>
                <w:sz w:val="20"/>
                <w:szCs w:val="20"/>
              </w:rPr>
              <w:t xml:space="preserve"> por parte del Estado costarricense para enfrentar la emergencia generada por el COVID-19. Por ejemplo: el Directorio del Fondo Monetario Internacional (FMI), con sede en Washington, D.C. (EE. UU.), aprobó este 29 de abril la solicitud de Costa Rica para obtener un crédito de desembolso rápido para atender la emergencia provocada por la pandemia del covid-19. El crédito aprobado es por USD 508 millones, bajo el Instrumento de Financiamiento Rápido.</w:t>
            </w:r>
          </w:p>
        </w:tc>
      </w:tr>
      <w:tr w:rsidR="00C57EE4" w14:paraId="671145F0" w14:textId="77777777" w:rsidTr="0050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val="restart"/>
            <w:shd w:val="clear" w:color="auto" w:fill="002060"/>
          </w:tcPr>
          <w:p w14:paraId="4BED5D94" w14:textId="6DD9CA39" w:rsidR="00C57EE4" w:rsidRPr="003B148C" w:rsidRDefault="006F7DC0" w:rsidP="009E56C3">
            <w:pPr>
              <w:rPr>
                <w:rFonts w:ascii="IBM Plex Sans" w:hAnsi="IBM Plex Sans" w:cs="Arial"/>
                <w:sz w:val="20"/>
                <w:szCs w:val="20"/>
              </w:rPr>
            </w:pPr>
            <w:r w:rsidRPr="003B148C">
              <w:rPr>
                <w:rFonts w:ascii="IBM Plex Sans" w:hAnsi="IBM Plex Sans" w:cs="Arial"/>
                <w:sz w:val="20"/>
                <w:szCs w:val="20"/>
              </w:rPr>
              <w:t>Créditos</w:t>
            </w:r>
            <w:r w:rsidR="00C57EE4" w:rsidRPr="003B148C">
              <w:rPr>
                <w:rFonts w:ascii="IBM Plex Sans" w:hAnsi="IBM Plex Sans" w:cs="Arial"/>
                <w:sz w:val="20"/>
                <w:szCs w:val="20"/>
              </w:rPr>
              <w:t xml:space="preserve"> de la banca estatal</w:t>
            </w:r>
          </w:p>
        </w:tc>
        <w:tc>
          <w:tcPr>
            <w:tcW w:w="6382" w:type="dxa"/>
          </w:tcPr>
          <w:p w14:paraId="6C2BCAD5" w14:textId="13E2C103" w:rsidR="00C57EE4" w:rsidRPr="003B148C" w:rsidRDefault="00C57EE4" w:rsidP="003B148C">
            <w:pPr>
              <w:jc w:val="both"/>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3B148C">
              <w:rPr>
                <w:rFonts w:ascii="IBM Plex Sans" w:hAnsi="IBM Plex Sans" w:cs="Arial"/>
                <w:b/>
                <w:bCs/>
                <w:sz w:val="20"/>
                <w:szCs w:val="20"/>
              </w:rPr>
              <w:t>Arreglos de pago:</w:t>
            </w:r>
            <w:r w:rsidRPr="003B148C">
              <w:rPr>
                <w:rFonts w:ascii="IBM Plex Sans" w:hAnsi="IBM Plex Sans" w:cs="Arial"/>
                <w:sz w:val="20"/>
                <w:szCs w:val="20"/>
              </w:rPr>
              <w:t xml:space="preserve"> la medida refiere a los arreglos de pago. Un arreglo de pago es un compromiso que adquiere el individuo con la entidad bancaria, de pagar dentro del tiempo convenido por ambos. Los arreglos de pago se realizan cuando existe un incumplimiento de los pagos, por ello, es un mecanismo para recuperar el dinero y minimizar el riesgo de impago por parte del cliente. Por ejemplo: se habilita la formalización de arreglos de pago para reestablecer los servicios suspendidos.</w:t>
            </w:r>
          </w:p>
        </w:tc>
      </w:tr>
      <w:tr w:rsidR="00C57EE4" w14:paraId="1E3D3FA8" w14:textId="77777777" w:rsidTr="005078D5">
        <w:tc>
          <w:tcPr>
            <w:cnfStyle w:val="001000000000" w:firstRow="0" w:lastRow="0" w:firstColumn="1" w:lastColumn="0" w:oddVBand="0" w:evenVBand="0" w:oddHBand="0" w:evenHBand="0" w:firstRowFirstColumn="0" w:firstRowLastColumn="0" w:lastRowFirstColumn="0" w:lastRowLastColumn="0"/>
            <w:tcW w:w="2405" w:type="dxa"/>
            <w:vMerge/>
            <w:shd w:val="clear" w:color="auto" w:fill="002060"/>
          </w:tcPr>
          <w:p w14:paraId="50D65C28" w14:textId="77777777" w:rsidR="00C57EE4" w:rsidRPr="003B148C" w:rsidRDefault="00C57EE4" w:rsidP="009E56C3">
            <w:pPr>
              <w:rPr>
                <w:rFonts w:ascii="IBM Plex Sans" w:hAnsi="IBM Plex Sans" w:cs="Arial"/>
                <w:sz w:val="20"/>
                <w:szCs w:val="20"/>
              </w:rPr>
            </w:pPr>
          </w:p>
        </w:tc>
        <w:tc>
          <w:tcPr>
            <w:tcW w:w="6382" w:type="dxa"/>
          </w:tcPr>
          <w:p w14:paraId="4A9A5860" w14:textId="164C2906" w:rsidR="00C57EE4" w:rsidRPr="003B148C" w:rsidRDefault="00C83B86" w:rsidP="003B148C">
            <w:pPr>
              <w:jc w:val="both"/>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3B148C">
              <w:rPr>
                <w:rFonts w:ascii="IBM Plex Sans" w:hAnsi="IBM Plex Sans" w:cs="Arial"/>
                <w:b/>
                <w:bCs/>
                <w:sz w:val="20"/>
                <w:szCs w:val="20"/>
              </w:rPr>
              <w:t>Flexibilización de cuotas de préstamos e intereses de créditos:</w:t>
            </w:r>
            <w:r w:rsidRPr="003B148C">
              <w:rPr>
                <w:rFonts w:ascii="IBM Plex Sans" w:hAnsi="IBM Plex Sans" w:cs="Arial"/>
                <w:sz w:val="20"/>
                <w:szCs w:val="20"/>
              </w:rPr>
              <w:t xml:space="preserve"> la medida refiere a la flexibilización de cuotas en préstamos e intereses de créditos. Es importante aclarar que la flexibilización de cuotas hace referencia a una solicitud del cliente debido a una situación específica; es decir, el cliente no ha incumplido con sus pagos, pero solicita flexibilizar sus cuotas por una situación determinada que está presentando, la cual podría arriesgar su historial de pago en el futuro. Por ejemplo: reducir la tasa de interés de nuestros créditos vigentes y futuros, del 6% al 5,5%, a partir de 01 de abril próximo.</w:t>
            </w:r>
          </w:p>
        </w:tc>
      </w:tr>
      <w:tr w:rsidR="00C57EE4" w14:paraId="64704EC3" w14:textId="77777777" w:rsidTr="0050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shd w:val="clear" w:color="auto" w:fill="002060"/>
          </w:tcPr>
          <w:p w14:paraId="26E8F8C8" w14:textId="77777777" w:rsidR="00C57EE4" w:rsidRPr="003B148C" w:rsidRDefault="00C57EE4" w:rsidP="009E56C3">
            <w:pPr>
              <w:rPr>
                <w:rFonts w:ascii="IBM Plex Sans" w:hAnsi="IBM Plex Sans" w:cs="Arial"/>
                <w:sz w:val="20"/>
                <w:szCs w:val="20"/>
              </w:rPr>
            </w:pPr>
          </w:p>
        </w:tc>
        <w:tc>
          <w:tcPr>
            <w:tcW w:w="6382" w:type="dxa"/>
          </w:tcPr>
          <w:p w14:paraId="529CCCF9" w14:textId="5F492001" w:rsidR="00C57EE4" w:rsidRPr="003B148C" w:rsidRDefault="00C83B86" w:rsidP="003B148C">
            <w:pPr>
              <w:jc w:val="both"/>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3B148C">
              <w:rPr>
                <w:rFonts w:ascii="IBM Plex Sans" w:hAnsi="IBM Plex Sans" w:cs="Arial"/>
                <w:b/>
                <w:bCs/>
                <w:sz w:val="20"/>
                <w:szCs w:val="20"/>
              </w:rPr>
              <w:t xml:space="preserve">Nuevos </w:t>
            </w:r>
            <w:r w:rsidR="002F5295" w:rsidRPr="003B148C">
              <w:rPr>
                <w:rFonts w:ascii="IBM Plex Sans" w:hAnsi="IBM Plex Sans" w:cs="Arial"/>
                <w:b/>
                <w:bCs/>
                <w:sz w:val="20"/>
                <w:szCs w:val="20"/>
              </w:rPr>
              <w:t>créditos</w:t>
            </w:r>
            <w:r w:rsidRPr="003B148C">
              <w:rPr>
                <w:rFonts w:ascii="IBM Plex Sans" w:hAnsi="IBM Plex Sans" w:cs="Arial"/>
                <w:b/>
                <w:bCs/>
                <w:sz w:val="20"/>
                <w:szCs w:val="20"/>
              </w:rPr>
              <w:t>:</w:t>
            </w:r>
            <w:r w:rsidRPr="003B148C">
              <w:rPr>
                <w:rFonts w:ascii="IBM Plex Sans" w:hAnsi="IBM Plex Sans" w:cs="Arial"/>
                <w:sz w:val="20"/>
                <w:szCs w:val="20"/>
              </w:rPr>
              <w:t xml:space="preserve"> la medida refiere a la creación de nuevos </w:t>
            </w:r>
            <w:r w:rsidR="002F5295" w:rsidRPr="003B148C">
              <w:rPr>
                <w:rFonts w:ascii="IBM Plex Sans" w:hAnsi="IBM Plex Sans" w:cs="Arial"/>
                <w:sz w:val="20"/>
                <w:szCs w:val="20"/>
              </w:rPr>
              <w:t>crédit</w:t>
            </w:r>
            <w:r w:rsidRPr="003B148C">
              <w:rPr>
                <w:rFonts w:ascii="IBM Plex Sans" w:hAnsi="IBM Plex Sans" w:cs="Arial"/>
                <w:sz w:val="20"/>
                <w:szCs w:val="20"/>
              </w:rPr>
              <w:t>os. Por ejemplo: los bancos públicos anunciaron la disponibilidad de ₡584 mil millones para avales y garantías de créditos productivos con tasas preferenciales con el fin de impulsar la recuperación económica y laboral del país, por medio de créditos para empresas afectadas por la pandemia del COVID-19.</w:t>
            </w:r>
          </w:p>
        </w:tc>
      </w:tr>
      <w:tr w:rsidR="00C83B86" w14:paraId="19ED21B7" w14:textId="77777777" w:rsidTr="005078D5">
        <w:tc>
          <w:tcPr>
            <w:cnfStyle w:val="001000000000" w:firstRow="0" w:lastRow="0" w:firstColumn="1" w:lastColumn="0" w:oddVBand="0" w:evenVBand="0" w:oddHBand="0" w:evenHBand="0" w:firstRowFirstColumn="0" w:firstRowLastColumn="0" w:lastRowFirstColumn="0" w:lastRowLastColumn="0"/>
            <w:tcW w:w="2405" w:type="dxa"/>
            <w:vMerge w:val="restart"/>
            <w:shd w:val="clear" w:color="auto" w:fill="002060"/>
          </w:tcPr>
          <w:p w14:paraId="72815C4C" w14:textId="52B27917" w:rsidR="00C83B86" w:rsidRPr="003B148C" w:rsidRDefault="00C83B86" w:rsidP="009E56C3">
            <w:pPr>
              <w:rPr>
                <w:rFonts w:ascii="IBM Plex Sans" w:hAnsi="IBM Plex Sans" w:cs="Arial"/>
                <w:sz w:val="20"/>
                <w:szCs w:val="20"/>
              </w:rPr>
            </w:pPr>
            <w:r w:rsidRPr="003B148C">
              <w:rPr>
                <w:rFonts w:ascii="IBM Plex Sans" w:hAnsi="IBM Plex Sans" w:cs="Arial"/>
                <w:sz w:val="20"/>
                <w:szCs w:val="20"/>
              </w:rPr>
              <w:t>Reactivaciones</w:t>
            </w:r>
          </w:p>
        </w:tc>
        <w:tc>
          <w:tcPr>
            <w:tcW w:w="6382" w:type="dxa"/>
          </w:tcPr>
          <w:p w14:paraId="67BEB330" w14:textId="1F6097D7" w:rsidR="00C83B86" w:rsidRPr="003B148C" w:rsidRDefault="00C83B86" w:rsidP="003B148C">
            <w:pPr>
              <w:jc w:val="both"/>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3B148C">
              <w:rPr>
                <w:rFonts w:ascii="IBM Plex Sans" w:hAnsi="IBM Plex Sans" w:cs="Arial"/>
                <w:b/>
                <w:bCs/>
                <w:sz w:val="20"/>
                <w:szCs w:val="20"/>
              </w:rPr>
              <w:t>Reactivaciones de espacio público:</w:t>
            </w:r>
            <w:r w:rsidRPr="003B148C">
              <w:rPr>
                <w:rFonts w:ascii="IBM Plex Sans" w:hAnsi="IBM Plex Sans" w:cs="Arial"/>
                <w:sz w:val="20"/>
                <w:szCs w:val="20"/>
              </w:rPr>
              <w:t xml:space="preserve"> la medida refiere a la reactivación de espacios públicos, eventos, actividades deportivas, recreativas, entre otros. Por ejemplo: del 16 al 31 de mayo, se permitirá la apertura de algunos parques nacionales con un 50% de su capacidad.</w:t>
            </w:r>
          </w:p>
        </w:tc>
      </w:tr>
      <w:tr w:rsidR="00C83B86" w14:paraId="7BCF7FB9" w14:textId="77777777" w:rsidTr="0050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shd w:val="clear" w:color="auto" w:fill="002060"/>
          </w:tcPr>
          <w:p w14:paraId="06048EE5" w14:textId="77777777" w:rsidR="00C83B86" w:rsidRPr="003B148C" w:rsidRDefault="00C83B86" w:rsidP="009E56C3">
            <w:pPr>
              <w:rPr>
                <w:rFonts w:ascii="IBM Plex Sans" w:hAnsi="IBM Plex Sans" w:cs="Arial"/>
                <w:sz w:val="20"/>
                <w:szCs w:val="20"/>
              </w:rPr>
            </w:pPr>
          </w:p>
        </w:tc>
        <w:tc>
          <w:tcPr>
            <w:tcW w:w="6382" w:type="dxa"/>
          </w:tcPr>
          <w:p w14:paraId="77EA8A7B" w14:textId="18900A0B" w:rsidR="00C83B86" w:rsidRPr="003B148C" w:rsidRDefault="00C83B86" w:rsidP="003B148C">
            <w:pPr>
              <w:jc w:val="both"/>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3B148C">
              <w:rPr>
                <w:rFonts w:ascii="IBM Plex Sans" w:hAnsi="IBM Plex Sans" w:cs="Arial"/>
                <w:b/>
                <w:bCs/>
                <w:sz w:val="20"/>
                <w:szCs w:val="20"/>
              </w:rPr>
              <w:t xml:space="preserve">Reactivaciones de </w:t>
            </w:r>
            <w:r w:rsidR="00895681" w:rsidRPr="003B148C">
              <w:rPr>
                <w:rFonts w:ascii="IBM Plex Sans" w:hAnsi="IBM Plex Sans" w:cs="Arial"/>
                <w:b/>
                <w:bCs/>
                <w:sz w:val="20"/>
                <w:szCs w:val="20"/>
              </w:rPr>
              <w:t xml:space="preserve">la </w:t>
            </w:r>
            <w:r w:rsidR="00563F67" w:rsidRPr="003B148C">
              <w:rPr>
                <w:rFonts w:ascii="IBM Plex Sans" w:hAnsi="IBM Plex Sans" w:cs="Arial"/>
                <w:b/>
                <w:bCs/>
                <w:sz w:val="20"/>
                <w:szCs w:val="20"/>
              </w:rPr>
              <w:t>actividad</w:t>
            </w:r>
            <w:r w:rsidRPr="003B148C">
              <w:rPr>
                <w:rFonts w:ascii="IBM Plex Sans" w:hAnsi="IBM Plex Sans" w:cs="Arial"/>
                <w:b/>
                <w:bCs/>
                <w:sz w:val="20"/>
                <w:szCs w:val="20"/>
              </w:rPr>
              <w:t xml:space="preserve"> económic</w:t>
            </w:r>
            <w:r w:rsidR="00563F67" w:rsidRPr="003B148C">
              <w:rPr>
                <w:rFonts w:ascii="IBM Plex Sans" w:hAnsi="IBM Plex Sans" w:cs="Arial"/>
                <w:b/>
                <w:bCs/>
                <w:sz w:val="20"/>
                <w:szCs w:val="20"/>
              </w:rPr>
              <w:t>a</w:t>
            </w:r>
            <w:r w:rsidRPr="003B148C">
              <w:rPr>
                <w:rFonts w:ascii="IBM Plex Sans" w:hAnsi="IBM Plex Sans" w:cs="Arial"/>
                <w:b/>
                <w:bCs/>
                <w:sz w:val="20"/>
                <w:szCs w:val="20"/>
              </w:rPr>
              <w:t xml:space="preserve"> y laboral:</w:t>
            </w:r>
            <w:r w:rsidRPr="003B148C">
              <w:rPr>
                <w:rFonts w:ascii="IBM Plex Sans" w:hAnsi="IBM Plex Sans" w:cs="Arial"/>
                <w:sz w:val="20"/>
                <w:szCs w:val="20"/>
              </w:rPr>
              <w:t xml:space="preserve"> la medida refiere a las reactivaciones de </w:t>
            </w:r>
            <w:r w:rsidR="00BF4761" w:rsidRPr="003B148C">
              <w:rPr>
                <w:rFonts w:ascii="IBM Plex Sans" w:hAnsi="IBM Plex Sans" w:cs="Arial"/>
                <w:sz w:val="20"/>
                <w:szCs w:val="20"/>
              </w:rPr>
              <w:t xml:space="preserve">la </w:t>
            </w:r>
            <w:r w:rsidR="00563F67" w:rsidRPr="003B148C">
              <w:rPr>
                <w:rFonts w:ascii="IBM Plex Sans" w:hAnsi="IBM Plex Sans" w:cs="Arial"/>
                <w:sz w:val="20"/>
                <w:szCs w:val="20"/>
              </w:rPr>
              <w:t>actividad</w:t>
            </w:r>
            <w:r w:rsidRPr="003B148C">
              <w:rPr>
                <w:rFonts w:ascii="IBM Plex Sans" w:hAnsi="IBM Plex Sans" w:cs="Arial"/>
                <w:sz w:val="20"/>
                <w:szCs w:val="20"/>
              </w:rPr>
              <w:t xml:space="preserve"> económic</w:t>
            </w:r>
            <w:r w:rsidR="00563F67" w:rsidRPr="003B148C">
              <w:rPr>
                <w:rFonts w:ascii="IBM Plex Sans" w:hAnsi="IBM Plex Sans" w:cs="Arial"/>
                <w:sz w:val="20"/>
                <w:szCs w:val="20"/>
              </w:rPr>
              <w:t>a</w:t>
            </w:r>
            <w:r w:rsidRPr="003B148C">
              <w:rPr>
                <w:rFonts w:ascii="IBM Plex Sans" w:hAnsi="IBM Plex Sans" w:cs="Arial"/>
                <w:sz w:val="20"/>
                <w:szCs w:val="20"/>
              </w:rPr>
              <w:t xml:space="preserve"> y laboral </w:t>
            </w:r>
            <w:r w:rsidRPr="003B148C">
              <w:rPr>
                <w:rFonts w:ascii="IBM Plex Sans" w:hAnsi="IBM Plex Sans" w:cs="Arial"/>
                <w:sz w:val="20"/>
                <w:szCs w:val="20"/>
              </w:rPr>
              <w:lastRenderedPageBreak/>
              <w:t>(horario de atención en establecimientos, compra y venta de bienes y servicios, entre otros). Por ejemplo: se habilita fines de semana de 5:00 am a 7:00 pm: salones de belleza y barberías, venta al por menor de partes, piezas y accesorios para vehículos automotores y motocicletas, estacionamientos o parqueos.</w:t>
            </w:r>
          </w:p>
        </w:tc>
      </w:tr>
      <w:tr w:rsidR="00C83B86" w14:paraId="5549F086" w14:textId="77777777" w:rsidTr="005078D5">
        <w:tc>
          <w:tcPr>
            <w:cnfStyle w:val="001000000000" w:firstRow="0" w:lastRow="0" w:firstColumn="1" w:lastColumn="0" w:oddVBand="0" w:evenVBand="0" w:oddHBand="0" w:evenHBand="0" w:firstRowFirstColumn="0" w:firstRowLastColumn="0" w:lastRowFirstColumn="0" w:lastRowLastColumn="0"/>
            <w:tcW w:w="2405" w:type="dxa"/>
            <w:vMerge/>
            <w:shd w:val="clear" w:color="auto" w:fill="002060"/>
          </w:tcPr>
          <w:p w14:paraId="62D15D40" w14:textId="77777777" w:rsidR="00C83B86" w:rsidRPr="003B148C" w:rsidRDefault="00C83B86" w:rsidP="009E56C3">
            <w:pPr>
              <w:rPr>
                <w:rFonts w:ascii="IBM Plex Sans" w:hAnsi="IBM Plex Sans" w:cs="Arial"/>
                <w:sz w:val="20"/>
                <w:szCs w:val="20"/>
              </w:rPr>
            </w:pPr>
          </w:p>
        </w:tc>
        <w:tc>
          <w:tcPr>
            <w:tcW w:w="6382" w:type="dxa"/>
          </w:tcPr>
          <w:p w14:paraId="14F34FD2" w14:textId="5CC42D68" w:rsidR="00C83B86" w:rsidRPr="003B148C" w:rsidRDefault="00C83B86" w:rsidP="003B148C">
            <w:pPr>
              <w:jc w:val="both"/>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3B148C">
              <w:rPr>
                <w:rFonts w:ascii="IBM Plex Sans" w:hAnsi="IBM Plex Sans" w:cs="Arial"/>
                <w:b/>
                <w:bCs/>
                <w:sz w:val="20"/>
                <w:szCs w:val="20"/>
              </w:rPr>
              <w:t>Reactivaciones de movilidad:</w:t>
            </w:r>
            <w:r w:rsidRPr="003B148C">
              <w:rPr>
                <w:rFonts w:ascii="IBM Plex Sans" w:hAnsi="IBM Plex Sans" w:cs="Arial"/>
                <w:sz w:val="20"/>
                <w:szCs w:val="20"/>
              </w:rPr>
              <w:t xml:space="preserve"> la medida refiere a las reactivaciones de movilidad. Por ejemplo: los distritos Las Juntas, Cañas y Bebedero ya no estarán sujetas a la restricción vehicular diferenciada a partir del día de este viernes.</w:t>
            </w:r>
          </w:p>
        </w:tc>
      </w:tr>
      <w:tr w:rsidR="00C83B86" w14:paraId="463DF128" w14:textId="77777777" w:rsidTr="0050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shd w:val="clear" w:color="auto" w:fill="002060"/>
          </w:tcPr>
          <w:p w14:paraId="0FD9F57D" w14:textId="77777777" w:rsidR="00C83B86" w:rsidRPr="003B148C" w:rsidRDefault="00C83B86" w:rsidP="009E56C3">
            <w:pPr>
              <w:rPr>
                <w:rFonts w:ascii="IBM Plex Sans" w:hAnsi="IBM Plex Sans" w:cs="Arial"/>
                <w:sz w:val="20"/>
                <w:szCs w:val="20"/>
              </w:rPr>
            </w:pPr>
          </w:p>
        </w:tc>
        <w:tc>
          <w:tcPr>
            <w:tcW w:w="6382" w:type="dxa"/>
          </w:tcPr>
          <w:p w14:paraId="37AB6B3E" w14:textId="7EFA2ECE" w:rsidR="00C83B86" w:rsidRPr="003B148C" w:rsidRDefault="00C83B86" w:rsidP="003B148C">
            <w:pPr>
              <w:jc w:val="both"/>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3B148C">
              <w:rPr>
                <w:rFonts w:ascii="IBM Plex Sans" w:hAnsi="IBM Plex Sans" w:cs="Arial"/>
                <w:b/>
                <w:bCs/>
                <w:sz w:val="20"/>
                <w:szCs w:val="20"/>
              </w:rPr>
              <w:t>Otras reactivaciones:</w:t>
            </w:r>
            <w:r w:rsidRPr="003B148C">
              <w:rPr>
                <w:rFonts w:ascii="IBM Plex Sans" w:hAnsi="IBM Plex Sans" w:cs="Arial"/>
                <w:sz w:val="20"/>
                <w:szCs w:val="20"/>
              </w:rPr>
              <w:t xml:space="preserve"> corresponde a las reactivaciones que no calcen en las opciones anteriores.</w:t>
            </w:r>
          </w:p>
        </w:tc>
      </w:tr>
      <w:tr w:rsidR="00C83B86" w14:paraId="293B8DB7" w14:textId="77777777" w:rsidTr="005078D5">
        <w:tc>
          <w:tcPr>
            <w:cnfStyle w:val="001000000000" w:firstRow="0" w:lastRow="0" w:firstColumn="1" w:lastColumn="0" w:oddVBand="0" w:evenVBand="0" w:oddHBand="0" w:evenHBand="0" w:firstRowFirstColumn="0" w:firstRowLastColumn="0" w:lastRowFirstColumn="0" w:lastRowLastColumn="0"/>
            <w:tcW w:w="2405" w:type="dxa"/>
            <w:vMerge w:val="restart"/>
            <w:shd w:val="clear" w:color="auto" w:fill="002060"/>
          </w:tcPr>
          <w:p w14:paraId="7BAF55AA" w14:textId="17B865C6" w:rsidR="00C83B86" w:rsidRPr="003B148C" w:rsidRDefault="00C83B86" w:rsidP="009E56C3">
            <w:pPr>
              <w:rPr>
                <w:rFonts w:ascii="IBM Plex Sans" w:hAnsi="IBM Plex Sans" w:cs="Arial"/>
                <w:sz w:val="20"/>
                <w:szCs w:val="20"/>
              </w:rPr>
            </w:pPr>
            <w:r w:rsidRPr="003B148C">
              <w:rPr>
                <w:rFonts w:ascii="IBM Plex Sans" w:hAnsi="IBM Plex Sans" w:cs="Arial"/>
                <w:sz w:val="20"/>
                <w:szCs w:val="20"/>
              </w:rPr>
              <w:t>Restricciones</w:t>
            </w:r>
          </w:p>
        </w:tc>
        <w:tc>
          <w:tcPr>
            <w:tcW w:w="6382" w:type="dxa"/>
          </w:tcPr>
          <w:p w14:paraId="10766634" w14:textId="76939D78" w:rsidR="00C83B86" w:rsidRPr="003B148C" w:rsidRDefault="00C83B86" w:rsidP="003B148C">
            <w:pPr>
              <w:jc w:val="both"/>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3B148C">
              <w:rPr>
                <w:rFonts w:ascii="IBM Plex Sans" w:hAnsi="IBM Plex Sans" w:cs="Arial"/>
                <w:b/>
                <w:bCs/>
                <w:sz w:val="20"/>
                <w:szCs w:val="20"/>
              </w:rPr>
              <w:t>Restricciones de espacio público:</w:t>
            </w:r>
            <w:r w:rsidRPr="003B148C">
              <w:rPr>
                <w:rFonts w:ascii="IBM Plex Sans" w:hAnsi="IBM Plex Sans" w:cs="Arial"/>
                <w:sz w:val="20"/>
                <w:szCs w:val="20"/>
              </w:rPr>
              <w:t xml:space="preserve"> la medida refiere a las restricciones sobre los espacios y eventos públicos. Por ejemplo: a partir de la publicación de la presente y hasta el día 01 de junio de 2020, se limitará el ingreso de investigadores, de sus asistentes o de cualquier otro tipo de acompañantes, a las áreas silvestres protegidas administradas por el Sistema Nacional de Áreas de Conservación.</w:t>
            </w:r>
          </w:p>
        </w:tc>
      </w:tr>
      <w:tr w:rsidR="00C83B86" w14:paraId="26A3BE00" w14:textId="77777777" w:rsidTr="0050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shd w:val="clear" w:color="auto" w:fill="002060"/>
          </w:tcPr>
          <w:p w14:paraId="531453B9" w14:textId="77777777" w:rsidR="00C83B86" w:rsidRPr="003B148C" w:rsidRDefault="00C83B86" w:rsidP="009E56C3">
            <w:pPr>
              <w:rPr>
                <w:rFonts w:ascii="IBM Plex Sans" w:hAnsi="IBM Plex Sans" w:cs="Arial"/>
                <w:sz w:val="20"/>
                <w:szCs w:val="20"/>
              </w:rPr>
            </w:pPr>
          </w:p>
        </w:tc>
        <w:tc>
          <w:tcPr>
            <w:tcW w:w="6382" w:type="dxa"/>
          </w:tcPr>
          <w:p w14:paraId="4DDCB1F4" w14:textId="3C208BD3" w:rsidR="00C83B86" w:rsidRPr="003B148C" w:rsidRDefault="00C83B86" w:rsidP="003B148C">
            <w:pPr>
              <w:jc w:val="both"/>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3B148C">
              <w:rPr>
                <w:rFonts w:ascii="IBM Plex Sans" w:hAnsi="IBM Plex Sans" w:cs="Arial"/>
                <w:b/>
                <w:bCs/>
                <w:sz w:val="20"/>
                <w:szCs w:val="20"/>
              </w:rPr>
              <w:t xml:space="preserve">Restricciones de </w:t>
            </w:r>
            <w:r w:rsidR="004E24CC" w:rsidRPr="003B148C">
              <w:rPr>
                <w:rFonts w:ascii="IBM Plex Sans" w:hAnsi="IBM Plex Sans" w:cs="Arial"/>
                <w:b/>
                <w:bCs/>
                <w:sz w:val="20"/>
                <w:szCs w:val="20"/>
              </w:rPr>
              <w:t>la actividad económica</w:t>
            </w:r>
            <w:r w:rsidRPr="003B148C">
              <w:rPr>
                <w:rFonts w:ascii="IBM Plex Sans" w:hAnsi="IBM Plex Sans" w:cs="Arial"/>
                <w:b/>
                <w:bCs/>
                <w:sz w:val="20"/>
                <w:szCs w:val="20"/>
              </w:rPr>
              <w:t xml:space="preserve"> y laboral:</w:t>
            </w:r>
            <w:r w:rsidRPr="003B148C">
              <w:rPr>
                <w:rFonts w:ascii="IBM Plex Sans" w:hAnsi="IBM Plex Sans" w:cs="Arial"/>
                <w:sz w:val="20"/>
                <w:szCs w:val="20"/>
              </w:rPr>
              <w:t xml:space="preserve"> la medida refiere a las restricciones sobre </w:t>
            </w:r>
            <w:r w:rsidR="00DA0712" w:rsidRPr="003B148C">
              <w:rPr>
                <w:rFonts w:ascii="IBM Plex Sans" w:hAnsi="IBM Plex Sans" w:cs="Arial"/>
                <w:sz w:val="20"/>
                <w:szCs w:val="20"/>
              </w:rPr>
              <w:t>la actividad</w:t>
            </w:r>
            <w:r w:rsidRPr="003B148C">
              <w:rPr>
                <w:rFonts w:ascii="IBM Plex Sans" w:hAnsi="IBM Plex Sans" w:cs="Arial"/>
                <w:sz w:val="20"/>
                <w:szCs w:val="20"/>
              </w:rPr>
              <w:t xml:space="preserve"> económic</w:t>
            </w:r>
            <w:r w:rsidR="00DA0712" w:rsidRPr="003B148C">
              <w:rPr>
                <w:rFonts w:ascii="IBM Plex Sans" w:hAnsi="IBM Plex Sans" w:cs="Arial"/>
                <w:sz w:val="20"/>
                <w:szCs w:val="20"/>
              </w:rPr>
              <w:t>a</w:t>
            </w:r>
            <w:r w:rsidRPr="003B148C">
              <w:rPr>
                <w:rFonts w:ascii="IBM Plex Sans" w:hAnsi="IBM Plex Sans" w:cs="Arial"/>
                <w:sz w:val="20"/>
                <w:szCs w:val="20"/>
              </w:rPr>
              <w:t xml:space="preserve"> y laboral (horario de atención en establecimientos, compra y venta de bienes y servicios, entre otros). Por ejemplo: se dispone una regulación especial para los establecimientos con permiso sanitario de funcionamiento ubicados en los distritos de Cariari (Pococí), Peñas Blancas (San Ramón), Cañas y Bebedero (Cañas), y Las Juntas (Abangares). Los establecimientos solo podrán funcionar de lunes a viernes de 5:00 am a 5:00 pm; además, los fines de semana, solo podrán funcionar los supermercados, farmacias, pulperías, abastecedores y servicios de salud sin restricción horaria; así como aquellos establecimientos habilitados de manera excepcional por el Ministerio de Salud.</w:t>
            </w:r>
          </w:p>
        </w:tc>
      </w:tr>
      <w:tr w:rsidR="00C83B86" w14:paraId="6905E2BC" w14:textId="77777777" w:rsidTr="005078D5">
        <w:tc>
          <w:tcPr>
            <w:cnfStyle w:val="001000000000" w:firstRow="0" w:lastRow="0" w:firstColumn="1" w:lastColumn="0" w:oddVBand="0" w:evenVBand="0" w:oddHBand="0" w:evenHBand="0" w:firstRowFirstColumn="0" w:firstRowLastColumn="0" w:lastRowFirstColumn="0" w:lastRowLastColumn="0"/>
            <w:tcW w:w="2405" w:type="dxa"/>
            <w:vMerge/>
            <w:shd w:val="clear" w:color="auto" w:fill="002060"/>
          </w:tcPr>
          <w:p w14:paraId="1C082AA5" w14:textId="77777777" w:rsidR="00C83B86" w:rsidRPr="003B148C" w:rsidRDefault="00C83B86" w:rsidP="009E56C3">
            <w:pPr>
              <w:rPr>
                <w:rFonts w:ascii="IBM Plex Sans" w:hAnsi="IBM Plex Sans" w:cs="Arial"/>
                <w:sz w:val="20"/>
                <w:szCs w:val="20"/>
              </w:rPr>
            </w:pPr>
          </w:p>
        </w:tc>
        <w:tc>
          <w:tcPr>
            <w:tcW w:w="6382" w:type="dxa"/>
          </w:tcPr>
          <w:p w14:paraId="0058C839" w14:textId="50898F10" w:rsidR="00AF39F0" w:rsidRPr="003B148C" w:rsidRDefault="00C83B86" w:rsidP="003B148C">
            <w:pPr>
              <w:jc w:val="both"/>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3B148C">
              <w:rPr>
                <w:rFonts w:ascii="IBM Plex Sans" w:hAnsi="IBM Plex Sans" w:cs="Arial"/>
                <w:b/>
                <w:bCs/>
                <w:sz w:val="20"/>
                <w:szCs w:val="20"/>
              </w:rPr>
              <w:t xml:space="preserve">Restricciones de movilidad: </w:t>
            </w:r>
            <w:r w:rsidRPr="003B148C">
              <w:rPr>
                <w:rFonts w:ascii="IBM Plex Sans" w:hAnsi="IBM Plex Sans" w:cs="Arial"/>
                <w:sz w:val="20"/>
                <w:szCs w:val="20"/>
              </w:rPr>
              <w:t>la medida refiere a las restricciones de movilidad. Por ejemplo: durante el miércoles 8 de abril al domingo 12 de abril de 2020, en el período comprendido entre las 00:00 horas y las 23:59 horas, no se permitirá el tránsito vehicular en todo el territorio nacional. En el cumplimiento de lo anterior, únicamente se podrá circular el día correspondiente autorizado de acuerdo con el número final (último dígito) de la placa de circulación vehicular a efectos de trasladarse al supermercado, abastecedor o pulpería, establecimiento de salud o farmacéutico.</w:t>
            </w:r>
          </w:p>
        </w:tc>
      </w:tr>
      <w:tr w:rsidR="00AF39F0" w14:paraId="2398CA8C" w14:textId="77777777" w:rsidTr="0050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val="restart"/>
            <w:shd w:val="clear" w:color="auto" w:fill="002060"/>
          </w:tcPr>
          <w:p w14:paraId="0F93CAD4" w14:textId="70D63E58" w:rsidR="00AF39F0" w:rsidRPr="003B148C" w:rsidRDefault="00AF39F0" w:rsidP="009E56C3">
            <w:pPr>
              <w:rPr>
                <w:rFonts w:ascii="IBM Plex Sans" w:hAnsi="IBM Plex Sans" w:cs="Arial"/>
                <w:sz w:val="20"/>
                <w:szCs w:val="20"/>
              </w:rPr>
            </w:pPr>
            <w:r w:rsidRPr="003B148C">
              <w:rPr>
                <w:rFonts w:ascii="IBM Plex Sans" w:hAnsi="IBM Plex Sans" w:cs="Arial"/>
                <w:sz w:val="20"/>
                <w:szCs w:val="20"/>
              </w:rPr>
              <w:t>Subsidios</w:t>
            </w:r>
          </w:p>
        </w:tc>
        <w:tc>
          <w:tcPr>
            <w:tcW w:w="6382" w:type="dxa"/>
          </w:tcPr>
          <w:p w14:paraId="33D8EA14" w14:textId="621AB178" w:rsidR="00AF39F0" w:rsidRPr="003B148C" w:rsidRDefault="00AF39F0" w:rsidP="003B148C">
            <w:pPr>
              <w:jc w:val="both"/>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3B148C">
              <w:rPr>
                <w:rFonts w:ascii="IBM Plex Sans" w:hAnsi="IBM Plex Sans" w:cs="Arial"/>
                <w:b/>
                <w:bCs/>
                <w:sz w:val="20"/>
                <w:szCs w:val="20"/>
              </w:rPr>
              <w:t>Subsidios para la producción de bienes y servicios:</w:t>
            </w:r>
            <w:r w:rsidRPr="003B148C">
              <w:rPr>
                <w:rFonts w:ascii="IBM Plex Sans" w:hAnsi="IBM Plex Sans" w:cs="Arial"/>
                <w:sz w:val="20"/>
                <w:szCs w:val="20"/>
              </w:rPr>
              <w:t xml:space="preserve"> la medida otorga el pago de subsidios para la producción de bienes y servicios. Por ejemplo: el programa Alivio es una plataforma que dotará de una serie de herramientas a 200 empresas, estas serán elegidas por las tres instituciones que conforman la iniciativa, las cuales darán $5,6 millones y su experiencia de acuerdo con la naturaleza de cada una.</w:t>
            </w:r>
          </w:p>
        </w:tc>
      </w:tr>
      <w:tr w:rsidR="00AF39F0" w14:paraId="399645F1" w14:textId="77777777" w:rsidTr="005078D5">
        <w:tc>
          <w:tcPr>
            <w:cnfStyle w:val="001000000000" w:firstRow="0" w:lastRow="0" w:firstColumn="1" w:lastColumn="0" w:oddVBand="0" w:evenVBand="0" w:oddHBand="0" w:evenHBand="0" w:firstRowFirstColumn="0" w:firstRowLastColumn="0" w:lastRowFirstColumn="0" w:lastRowLastColumn="0"/>
            <w:tcW w:w="2405" w:type="dxa"/>
            <w:vMerge/>
            <w:shd w:val="clear" w:color="auto" w:fill="002060"/>
          </w:tcPr>
          <w:p w14:paraId="359E5158" w14:textId="77777777" w:rsidR="00AF39F0" w:rsidRPr="003B148C" w:rsidRDefault="00AF39F0" w:rsidP="009E56C3">
            <w:pPr>
              <w:rPr>
                <w:rFonts w:ascii="IBM Plex Sans" w:hAnsi="IBM Plex Sans" w:cs="Arial"/>
                <w:sz w:val="20"/>
                <w:szCs w:val="20"/>
              </w:rPr>
            </w:pPr>
          </w:p>
        </w:tc>
        <w:tc>
          <w:tcPr>
            <w:tcW w:w="6382" w:type="dxa"/>
          </w:tcPr>
          <w:p w14:paraId="15A36CEC" w14:textId="3D248A0D" w:rsidR="00AF39F0" w:rsidRPr="003B148C" w:rsidRDefault="00AF39F0" w:rsidP="003B148C">
            <w:pPr>
              <w:jc w:val="both"/>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3B148C">
              <w:rPr>
                <w:rFonts w:ascii="IBM Plex Sans" w:hAnsi="IBM Plex Sans" w:cs="Arial"/>
                <w:b/>
                <w:bCs/>
                <w:sz w:val="20"/>
                <w:szCs w:val="20"/>
              </w:rPr>
              <w:t xml:space="preserve">Subsidios para servicios de capacitación y formación profesional: </w:t>
            </w:r>
            <w:r w:rsidRPr="003B148C">
              <w:rPr>
                <w:rFonts w:ascii="IBM Plex Sans" w:hAnsi="IBM Plex Sans" w:cs="Arial"/>
                <w:sz w:val="20"/>
                <w:szCs w:val="20"/>
              </w:rPr>
              <w:t>la medida refiere a la entrega de subsidios para servicios de capacitación y formación profesional. Por ejemplo: establecer becas para aprender inglés por un año para trabajadores.</w:t>
            </w:r>
          </w:p>
        </w:tc>
      </w:tr>
      <w:tr w:rsidR="00AF39F0" w14:paraId="5029BE12" w14:textId="77777777" w:rsidTr="0050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shd w:val="clear" w:color="auto" w:fill="002060"/>
          </w:tcPr>
          <w:p w14:paraId="4E0689FC" w14:textId="77777777" w:rsidR="00AF39F0" w:rsidRPr="003B148C" w:rsidRDefault="00AF39F0" w:rsidP="009E56C3">
            <w:pPr>
              <w:rPr>
                <w:rFonts w:ascii="IBM Plex Sans" w:hAnsi="IBM Plex Sans" w:cs="Arial"/>
                <w:sz w:val="20"/>
                <w:szCs w:val="20"/>
              </w:rPr>
            </w:pPr>
          </w:p>
        </w:tc>
        <w:tc>
          <w:tcPr>
            <w:tcW w:w="6382" w:type="dxa"/>
          </w:tcPr>
          <w:p w14:paraId="6BE876FD" w14:textId="2ECBDCD5" w:rsidR="00AF39F0" w:rsidRPr="003B148C" w:rsidRDefault="00AF39F0" w:rsidP="003B148C">
            <w:pPr>
              <w:jc w:val="both"/>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3B148C">
              <w:rPr>
                <w:rFonts w:ascii="IBM Plex Sans" w:hAnsi="IBM Plex Sans" w:cs="Arial"/>
                <w:b/>
                <w:bCs/>
                <w:sz w:val="20"/>
                <w:szCs w:val="20"/>
              </w:rPr>
              <w:t>Subsidios por desempleo, suspensión de contratos y reducción de jornadas laborales:</w:t>
            </w:r>
            <w:r w:rsidRPr="003B148C">
              <w:rPr>
                <w:rFonts w:ascii="IBM Plex Sans" w:hAnsi="IBM Plex Sans" w:cs="Arial"/>
                <w:sz w:val="20"/>
                <w:szCs w:val="20"/>
              </w:rPr>
              <w:t xml:space="preserve"> la medida otorga el pago de subsidios por desempleo, suspensión de contratos y reducción de jornadas laborales. Por ejemplo: créase el Bono Proteger como una transferencia monetaria extraordinaria y temporal para contribuir con </w:t>
            </w:r>
            <w:r w:rsidRPr="003B148C">
              <w:rPr>
                <w:rFonts w:ascii="IBM Plex Sans" w:hAnsi="IBM Plex Sans" w:cs="Arial"/>
                <w:sz w:val="20"/>
                <w:szCs w:val="20"/>
              </w:rPr>
              <w:lastRenderedPageBreak/>
              <w:t>la protección social de los hogares afectados por el cambio en sus condiciones laborales y/o de ingresos como consecuencia de la Emergencia Nacional provocada por el COVID-19.</w:t>
            </w:r>
          </w:p>
        </w:tc>
      </w:tr>
      <w:tr w:rsidR="00AF39F0" w14:paraId="69CD9CB7" w14:textId="77777777" w:rsidTr="005078D5">
        <w:tc>
          <w:tcPr>
            <w:cnfStyle w:val="001000000000" w:firstRow="0" w:lastRow="0" w:firstColumn="1" w:lastColumn="0" w:oddVBand="0" w:evenVBand="0" w:oddHBand="0" w:evenHBand="0" w:firstRowFirstColumn="0" w:firstRowLastColumn="0" w:lastRowFirstColumn="0" w:lastRowLastColumn="0"/>
            <w:tcW w:w="2405" w:type="dxa"/>
            <w:vMerge w:val="restart"/>
            <w:shd w:val="clear" w:color="auto" w:fill="002060"/>
          </w:tcPr>
          <w:p w14:paraId="1CB4EC12" w14:textId="35B702A3" w:rsidR="00AF39F0" w:rsidRPr="003B148C" w:rsidRDefault="00AF39F0" w:rsidP="009E56C3">
            <w:pPr>
              <w:rPr>
                <w:rFonts w:ascii="IBM Plex Sans" w:hAnsi="IBM Plex Sans" w:cs="Arial"/>
                <w:sz w:val="20"/>
                <w:szCs w:val="20"/>
              </w:rPr>
            </w:pPr>
            <w:r w:rsidRPr="003B148C">
              <w:rPr>
                <w:rFonts w:ascii="IBM Plex Sans" w:hAnsi="IBM Plex Sans" w:cs="Arial"/>
                <w:sz w:val="20"/>
                <w:szCs w:val="20"/>
              </w:rPr>
              <w:lastRenderedPageBreak/>
              <w:t>Suministros del Estado</w:t>
            </w:r>
          </w:p>
        </w:tc>
        <w:tc>
          <w:tcPr>
            <w:tcW w:w="6382" w:type="dxa"/>
          </w:tcPr>
          <w:p w14:paraId="63D126E2" w14:textId="746EBC92" w:rsidR="00AF39F0" w:rsidRPr="003B148C" w:rsidRDefault="00AF39F0" w:rsidP="003B148C">
            <w:pPr>
              <w:jc w:val="both"/>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3B148C">
              <w:rPr>
                <w:rFonts w:ascii="IBM Plex Sans" w:hAnsi="IBM Plex Sans" w:cs="Arial"/>
                <w:b/>
                <w:bCs/>
                <w:sz w:val="20"/>
                <w:szCs w:val="20"/>
              </w:rPr>
              <w:t>Compra de equipo médico:</w:t>
            </w:r>
            <w:r w:rsidRPr="003B148C">
              <w:rPr>
                <w:rFonts w:ascii="IBM Plex Sans" w:hAnsi="IBM Plex Sans" w:cs="Arial"/>
                <w:sz w:val="20"/>
                <w:szCs w:val="20"/>
              </w:rPr>
              <w:t xml:space="preserve"> corresponde a las compras y reservas de equipo médico, protección e higiene para dar respuesta a la emergencia generada por el COVID-19. Por ejemplo: la Caja Costarricense de Seguro Social (CCSS) fue autorizada este sábado 28 de marzo por la Contraloría General de la República (CGR) para adquirir más equipos, mediante el mecanismo de compra directa por un monto que supera los 2 millones de dólares.</w:t>
            </w:r>
          </w:p>
        </w:tc>
      </w:tr>
      <w:tr w:rsidR="00AF39F0" w14:paraId="4DAA0329" w14:textId="77777777" w:rsidTr="0050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shd w:val="clear" w:color="auto" w:fill="002060"/>
          </w:tcPr>
          <w:p w14:paraId="572E5154" w14:textId="77777777" w:rsidR="00AF39F0" w:rsidRPr="003B148C" w:rsidRDefault="00AF39F0" w:rsidP="009E56C3">
            <w:pPr>
              <w:rPr>
                <w:rFonts w:ascii="IBM Plex Sans" w:hAnsi="IBM Plex Sans" w:cs="Arial"/>
                <w:sz w:val="20"/>
                <w:szCs w:val="20"/>
              </w:rPr>
            </w:pPr>
          </w:p>
        </w:tc>
        <w:tc>
          <w:tcPr>
            <w:tcW w:w="6382" w:type="dxa"/>
          </w:tcPr>
          <w:p w14:paraId="26F2DA36" w14:textId="3508617B" w:rsidR="00AF39F0" w:rsidRPr="003B148C" w:rsidRDefault="00AF39F0" w:rsidP="003B148C">
            <w:pPr>
              <w:jc w:val="both"/>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3B148C">
              <w:rPr>
                <w:rFonts w:ascii="IBM Plex Sans" w:hAnsi="IBM Plex Sans" w:cs="Arial"/>
                <w:b/>
                <w:bCs/>
                <w:sz w:val="20"/>
                <w:szCs w:val="20"/>
              </w:rPr>
              <w:t>Financiamiento e inversión en proyectos:</w:t>
            </w:r>
            <w:r w:rsidRPr="003B148C">
              <w:rPr>
                <w:rFonts w:ascii="IBM Plex Sans" w:hAnsi="IBM Plex Sans" w:cs="Arial"/>
                <w:sz w:val="20"/>
                <w:szCs w:val="20"/>
              </w:rPr>
              <w:t xml:space="preserve"> corresponde al financiamiento e inversión en proyectos para dar respuesta a la emergencia generada por el COVID-19. Por ejemplo, se plantea invertir ₡3,1 billones para 2020 y 2021, de un total de ₡5,5 billones proyectados para todo el periodo de la administración. De ese presupuesto, ₡1,1 billones serán para alianzas público-privadas, entre el 2020 y 2021.</w:t>
            </w:r>
          </w:p>
        </w:tc>
      </w:tr>
      <w:tr w:rsidR="00AF39F0" w14:paraId="20441B30" w14:textId="77777777" w:rsidTr="005078D5">
        <w:tc>
          <w:tcPr>
            <w:cnfStyle w:val="001000000000" w:firstRow="0" w:lastRow="0" w:firstColumn="1" w:lastColumn="0" w:oddVBand="0" w:evenVBand="0" w:oddHBand="0" w:evenHBand="0" w:firstRowFirstColumn="0" w:firstRowLastColumn="0" w:lastRowFirstColumn="0" w:lastRowLastColumn="0"/>
            <w:tcW w:w="2405" w:type="dxa"/>
            <w:vMerge/>
            <w:shd w:val="clear" w:color="auto" w:fill="002060"/>
          </w:tcPr>
          <w:p w14:paraId="6E274D7E" w14:textId="77777777" w:rsidR="00AF39F0" w:rsidRPr="003B148C" w:rsidRDefault="00AF39F0" w:rsidP="009E56C3">
            <w:pPr>
              <w:rPr>
                <w:rFonts w:ascii="IBM Plex Sans" w:hAnsi="IBM Plex Sans" w:cs="Arial"/>
                <w:sz w:val="20"/>
                <w:szCs w:val="20"/>
              </w:rPr>
            </w:pPr>
          </w:p>
        </w:tc>
        <w:tc>
          <w:tcPr>
            <w:tcW w:w="6382" w:type="dxa"/>
          </w:tcPr>
          <w:p w14:paraId="74D4BC2E" w14:textId="638F7AC8" w:rsidR="00AF39F0" w:rsidRPr="003B148C" w:rsidRDefault="00AF39F0" w:rsidP="003B148C">
            <w:pPr>
              <w:jc w:val="both"/>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3B148C">
              <w:rPr>
                <w:rFonts w:ascii="IBM Plex Sans" w:hAnsi="IBM Plex Sans" w:cs="Arial"/>
                <w:b/>
                <w:bCs/>
                <w:sz w:val="20"/>
                <w:szCs w:val="20"/>
              </w:rPr>
              <w:t>Otros suministros y compras:</w:t>
            </w:r>
            <w:r w:rsidRPr="003B148C">
              <w:rPr>
                <w:rFonts w:ascii="IBM Plex Sans" w:hAnsi="IBM Plex Sans" w:cs="Arial"/>
                <w:sz w:val="20"/>
                <w:szCs w:val="20"/>
              </w:rPr>
              <w:t xml:space="preserve"> corresponde a los suministros y compras que no calcen en ninguna de las opciones anteriores. Por ejemplo: se ha coordinado con cadena de tiendas Walmart y Price Smart para compras excepcionales en la cadena de tiendas de la corporación.</w:t>
            </w:r>
          </w:p>
        </w:tc>
      </w:tr>
      <w:tr w:rsidR="00AF39F0" w14:paraId="02D7E921" w14:textId="77777777" w:rsidTr="0050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val="restart"/>
            <w:shd w:val="clear" w:color="auto" w:fill="002060"/>
          </w:tcPr>
          <w:p w14:paraId="3B5A63F4" w14:textId="35DDD325" w:rsidR="00AF39F0" w:rsidRPr="003B148C" w:rsidRDefault="00AF39F0" w:rsidP="009E56C3">
            <w:pPr>
              <w:rPr>
                <w:rFonts w:ascii="IBM Plex Sans" w:hAnsi="IBM Plex Sans" w:cs="Arial"/>
                <w:sz w:val="20"/>
                <w:szCs w:val="20"/>
              </w:rPr>
            </w:pPr>
            <w:r w:rsidRPr="003B148C">
              <w:rPr>
                <w:rFonts w:ascii="IBM Plex Sans" w:hAnsi="IBM Plex Sans" w:cs="Arial"/>
                <w:sz w:val="20"/>
                <w:szCs w:val="20"/>
              </w:rPr>
              <w:t>Suspensiones</w:t>
            </w:r>
          </w:p>
        </w:tc>
        <w:tc>
          <w:tcPr>
            <w:tcW w:w="6382" w:type="dxa"/>
          </w:tcPr>
          <w:p w14:paraId="15B95AAA" w14:textId="11EDA3B5" w:rsidR="00AF39F0" w:rsidRPr="003B148C" w:rsidRDefault="00AF39F0" w:rsidP="003B148C">
            <w:pPr>
              <w:jc w:val="both"/>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3B148C">
              <w:rPr>
                <w:rFonts w:ascii="IBM Plex Sans" w:hAnsi="IBM Plex Sans" w:cs="Arial"/>
                <w:b/>
                <w:bCs/>
                <w:sz w:val="20"/>
                <w:szCs w:val="20"/>
              </w:rPr>
              <w:t>Suspensiones de</w:t>
            </w:r>
            <w:r w:rsidR="006B35FB" w:rsidRPr="003B148C">
              <w:rPr>
                <w:rFonts w:ascii="IBM Plex Sans" w:hAnsi="IBM Plex Sans" w:cs="Arial"/>
                <w:b/>
                <w:bCs/>
                <w:sz w:val="20"/>
                <w:szCs w:val="20"/>
              </w:rPr>
              <w:t xml:space="preserve"> la actividad</w:t>
            </w:r>
            <w:r w:rsidRPr="003B148C">
              <w:rPr>
                <w:rFonts w:ascii="IBM Plex Sans" w:hAnsi="IBM Plex Sans" w:cs="Arial"/>
                <w:b/>
                <w:bCs/>
                <w:sz w:val="20"/>
                <w:szCs w:val="20"/>
              </w:rPr>
              <w:t xml:space="preserve"> económic</w:t>
            </w:r>
            <w:r w:rsidR="006B35FB" w:rsidRPr="003B148C">
              <w:rPr>
                <w:rFonts w:ascii="IBM Plex Sans" w:hAnsi="IBM Plex Sans" w:cs="Arial"/>
                <w:b/>
                <w:bCs/>
                <w:sz w:val="20"/>
                <w:szCs w:val="20"/>
              </w:rPr>
              <w:t>a</w:t>
            </w:r>
            <w:r w:rsidRPr="003B148C">
              <w:rPr>
                <w:rFonts w:ascii="IBM Plex Sans" w:hAnsi="IBM Plex Sans" w:cs="Arial"/>
                <w:b/>
                <w:bCs/>
                <w:sz w:val="20"/>
                <w:szCs w:val="20"/>
              </w:rPr>
              <w:t xml:space="preserve"> y laboral:</w:t>
            </w:r>
            <w:r w:rsidRPr="003B148C">
              <w:rPr>
                <w:rFonts w:ascii="IBM Plex Sans" w:hAnsi="IBM Plex Sans" w:cs="Arial"/>
                <w:sz w:val="20"/>
                <w:szCs w:val="20"/>
              </w:rPr>
              <w:t xml:space="preserve"> la medida refiere a las suspensiones de</w:t>
            </w:r>
            <w:r w:rsidR="006B35FB" w:rsidRPr="003B148C">
              <w:rPr>
                <w:rFonts w:ascii="IBM Plex Sans" w:hAnsi="IBM Plex Sans" w:cs="Arial"/>
                <w:sz w:val="20"/>
                <w:szCs w:val="20"/>
              </w:rPr>
              <w:t xml:space="preserve"> la</w:t>
            </w:r>
            <w:r w:rsidRPr="003B148C">
              <w:rPr>
                <w:rFonts w:ascii="IBM Plex Sans" w:hAnsi="IBM Plex Sans" w:cs="Arial"/>
                <w:sz w:val="20"/>
                <w:szCs w:val="20"/>
              </w:rPr>
              <w:t xml:space="preserve"> </w:t>
            </w:r>
            <w:r w:rsidR="00E4007B" w:rsidRPr="003B148C">
              <w:rPr>
                <w:rFonts w:ascii="IBM Plex Sans" w:hAnsi="IBM Plex Sans" w:cs="Arial"/>
                <w:sz w:val="20"/>
                <w:szCs w:val="20"/>
              </w:rPr>
              <w:t>actividad económica</w:t>
            </w:r>
            <w:r w:rsidRPr="003B148C">
              <w:rPr>
                <w:rFonts w:ascii="IBM Plex Sans" w:hAnsi="IBM Plex Sans" w:cs="Arial"/>
                <w:sz w:val="20"/>
                <w:szCs w:val="20"/>
              </w:rPr>
              <w:t>, asimismo, la suspensión de trabajos y contratos laborales. Por ejemplo: se resuelve ordenar el cierre temporal de todos los establecimientos con permiso sanitario de funcionamiento clasificados como sitios de reunión pública, a partir del viernes 03 de abril de 2020 a las 5:00 pm y hasta el domingo 12 de abril a las 11:59 pm.</w:t>
            </w:r>
          </w:p>
        </w:tc>
      </w:tr>
      <w:tr w:rsidR="00AF39F0" w14:paraId="770AED86" w14:textId="77777777" w:rsidTr="005078D5">
        <w:tc>
          <w:tcPr>
            <w:cnfStyle w:val="001000000000" w:firstRow="0" w:lastRow="0" w:firstColumn="1" w:lastColumn="0" w:oddVBand="0" w:evenVBand="0" w:oddHBand="0" w:evenHBand="0" w:firstRowFirstColumn="0" w:firstRowLastColumn="0" w:lastRowFirstColumn="0" w:lastRowLastColumn="0"/>
            <w:tcW w:w="2405" w:type="dxa"/>
            <w:vMerge/>
            <w:shd w:val="clear" w:color="auto" w:fill="002060"/>
          </w:tcPr>
          <w:p w14:paraId="40ED8BB5" w14:textId="77777777" w:rsidR="00AF39F0" w:rsidRPr="003B148C" w:rsidRDefault="00AF39F0" w:rsidP="009E56C3">
            <w:pPr>
              <w:rPr>
                <w:rFonts w:ascii="IBM Plex Sans" w:hAnsi="IBM Plex Sans" w:cs="Arial"/>
                <w:sz w:val="20"/>
                <w:szCs w:val="20"/>
              </w:rPr>
            </w:pPr>
          </w:p>
        </w:tc>
        <w:tc>
          <w:tcPr>
            <w:tcW w:w="6382" w:type="dxa"/>
          </w:tcPr>
          <w:p w14:paraId="74157A8A" w14:textId="55A92A7F" w:rsidR="00AF39F0" w:rsidRPr="003B148C" w:rsidRDefault="00AF39F0" w:rsidP="003B148C">
            <w:pPr>
              <w:jc w:val="both"/>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3B148C">
              <w:rPr>
                <w:rFonts w:ascii="IBM Plex Sans" w:hAnsi="IBM Plex Sans" w:cs="Arial"/>
                <w:b/>
                <w:bCs/>
                <w:sz w:val="20"/>
                <w:szCs w:val="20"/>
              </w:rPr>
              <w:t>Suspensiones de servicios de capacitación y formación profesional:</w:t>
            </w:r>
            <w:r w:rsidRPr="003B148C">
              <w:rPr>
                <w:rFonts w:ascii="IBM Plex Sans" w:hAnsi="IBM Plex Sans" w:cs="Arial"/>
                <w:sz w:val="20"/>
                <w:szCs w:val="20"/>
              </w:rPr>
              <w:t xml:space="preserve"> la medida refiere a la suspensión de servicios de capacitación y formación profesional. Por ejemplo: se suspenden temporalmente las lecciones presenciales en las diversas ofertas de educación no formal que brinda el Ministerio de Cultura y Juventud, a través de sus Programas y Órganos Desconcentrados, a partir del sábado 21 de marzo y hasta el próximo 12 de abril del año 2020.</w:t>
            </w:r>
          </w:p>
        </w:tc>
      </w:tr>
      <w:tr w:rsidR="00AF39F0" w14:paraId="2C8D8D33" w14:textId="77777777" w:rsidTr="0050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shd w:val="clear" w:color="auto" w:fill="002060"/>
          </w:tcPr>
          <w:p w14:paraId="54B9AA55" w14:textId="77777777" w:rsidR="00AF39F0" w:rsidRPr="003B148C" w:rsidRDefault="00AF39F0" w:rsidP="009E56C3">
            <w:pPr>
              <w:rPr>
                <w:rFonts w:ascii="IBM Plex Sans" w:hAnsi="IBM Plex Sans" w:cs="Arial"/>
                <w:sz w:val="20"/>
                <w:szCs w:val="20"/>
              </w:rPr>
            </w:pPr>
          </w:p>
        </w:tc>
        <w:tc>
          <w:tcPr>
            <w:tcW w:w="6382" w:type="dxa"/>
          </w:tcPr>
          <w:p w14:paraId="71C84F0D" w14:textId="06DC1D6A" w:rsidR="00AF39F0" w:rsidRPr="003B148C" w:rsidRDefault="00AF39F0" w:rsidP="003B148C">
            <w:pPr>
              <w:jc w:val="both"/>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3B148C">
              <w:rPr>
                <w:rFonts w:ascii="IBM Plex Sans" w:hAnsi="IBM Plex Sans" w:cs="Arial"/>
                <w:b/>
                <w:bCs/>
                <w:sz w:val="20"/>
                <w:szCs w:val="20"/>
              </w:rPr>
              <w:t>Suspensiones de trámites y servicios públicos:</w:t>
            </w:r>
            <w:r w:rsidRPr="003B148C">
              <w:rPr>
                <w:rFonts w:ascii="IBM Plex Sans" w:hAnsi="IBM Plex Sans" w:cs="Arial"/>
                <w:sz w:val="20"/>
                <w:szCs w:val="20"/>
              </w:rPr>
              <w:t xml:space="preserve"> la medida refiere a la suspensión de trámites y servicios públicos. Por ejemplo: en cuanto a los plazos relativos a expedientes, procedimientos y trámites internos o externos de naturaleza electoral, civil o administrativa, el Tribunal Supremo de Elecciones (TSE) aclaró que su suspensión (previamente acordada en la sesión extraordinaria n.º 31-2020) se mantiene hasta el próximo 30 de abril.</w:t>
            </w:r>
          </w:p>
        </w:tc>
      </w:tr>
      <w:tr w:rsidR="00AF39F0" w14:paraId="493D35CF" w14:textId="77777777" w:rsidTr="005078D5">
        <w:tc>
          <w:tcPr>
            <w:cnfStyle w:val="001000000000" w:firstRow="0" w:lastRow="0" w:firstColumn="1" w:lastColumn="0" w:oddVBand="0" w:evenVBand="0" w:oddHBand="0" w:evenHBand="0" w:firstRowFirstColumn="0" w:firstRowLastColumn="0" w:lastRowFirstColumn="0" w:lastRowLastColumn="0"/>
            <w:tcW w:w="2405" w:type="dxa"/>
            <w:vMerge/>
            <w:shd w:val="clear" w:color="auto" w:fill="002060"/>
          </w:tcPr>
          <w:p w14:paraId="6AD0A834" w14:textId="77777777" w:rsidR="00AF39F0" w:rsidRPr="003B148C" w:rsidRDefault="00AF39F0" w:rsidP="009E56C3">
            <w:pPr>
              <w:rPr>
                <w:rFonts w:ascii="IBM Plex Sans" w:hAnsi="IBM Plex Sans" w:cs="Arial"/>
                <w:sz w:val="20"/>
                <w:szCs w:val="20"/>
              </w:rPr>
            </w:pPr>
          </w:p>
        </w:tc>
        <w:tc>
          <w:tcPr>
            <w:tcW w:w="6382" w:type="dxa"/>
          </w:tcPr>
          <w:p w14:paraId="61D1D09E" w14:textId="0C0E0617" w:rsidR="00AF39F0" w:rsidRPr="003B148C" w:rsidRDefault="00AF39F0" w:rsidP="003B148C">
            <w:pPr>
              <w:jc w:val="both"/>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3B148C">
              <w:rPr>
                <w:rFonts w:ascii="IBM Plex Sans" w:hAnsi="IBM Plex Sans" w:cs="Arial"/>
                <w:b/>
                <w:bCs/>
                <w:sz w:val="20"/>
                <w:szCs w:val="20"/>
              </w:rPr>
              <w:t>Suspensiones de espacio público:</w:t>
            </w:r>
            <w:r w:rsidRPr="003B148C">
              <w:rPr>
                <w:rFonts w:ascii="IBM Plex Sans" w:hAnsi="IBM Plex Sans" w:cs="Arial"/>
                <w:sz w:val="20"/>
                <w:szCs w:val="20"/>
              </w:rPr>
              <w:t xml:space="preserve"> la medida refiere a la suspensión de espacios y eventos públicos,</w:t>
            </w:r>
            <w:r w:rsidR="005078D5" w:rsidRPr="003B148C">
              <w:rPr>
                <w:rFonts w:ascii="IBM Plex Sans" w:hAnsi="IBM Plex Sans" w:cs="Arial"/>
                <w:sz w:val="20"/>
                <w:szCs w:val="20"/>
              </w:rPr>
              <w:t xml:space="preserve"> estos incluyen </w:t>
            </w:r>
            <w:r w:rsidRPr="003B148C">
              <w:rPr>
                <w:rFonts w:ascii="IBM Plex Sans" w:hAnsi="IBM Plex Sans" w:cs="Arial"/>
                <w:sz w:val="20"/>
                <w:szCs w:val="20"/>
              </w:rPr>
              <w:t>la suspensión de actividades deportivas, recreativas, visitas a centros hospitalarios y penitenciarios, entre otros. Por ejemplo: el Consejo Nacional del Deporte y la Recreación acuerda trasladar la etapa final de los Juegos Nacionales para celebrarse del 28 de noviembre al 12 de diciembre del 2020. Quedan suspendidas temporalmente todas las coordinaciones respectivas y todos los procesos de clasificación hasta nuevo aviso.</w:t>
            </w:r>
          </w:p>
        </w:tc>
      </w:tr>
      <w:tr w:rsidR="00AF39F0" w14:paraId="336BE64E" w14:textId="77777777" w:rsidTr="0050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shd w:val="clear" w:color="auto" w:fill="002060"/>
          </w:tcPr>
          <w:p w14:paraId="436D2A85" w14:textId="77777777" w:rsidR="00AF39F0" w:rsidRPr="003B148C" w:rsidRDefault="00AF39F0" w:rsidP="009E56C3">
            <w:pPr>
              <w:rPr>
                <w:rFonts w:ascii="IBM Plex Sans" w:hAnsi="IBM Plex Sans" w:cs="Arial"/>
                <w:sz w:val="20"/>
                <w:szCs w:val="20"/>
              </w:rPr>
            </w:pPr>
          </w:p>
        </w:tc>
        <w:tc>
          <w:tcPr>
            <w:tcW w:w="6382" w:type="dxa"/>
          </w:tcPr>
          <w:p w14:paraId="4E05110C" w14:textId="5C0E467D" w:rsidR="00AF39F0" w:rsidRPr="003B148C" w:rsidRDefault="005078D5" w:rsidP="003B148C">
            <w:pPr>
              <w:jc w:val="both"/>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3B148C">
              <w:rPr>
                <w:rFonts w:ascii="IBM Plex Sans" w:hAnsi="IBM Plex Sans" w:cs="Arial"/>
                <w:b/>
                <w:bCs/>
                <w:sz w:val="20"/>
                <w:szCs w:val="20"/>
              </w:rPr>
              <w:t>Otras suspensiones:</w:t>
            </w:r>
            <w:r w:rsidRPr="003B148C">
              <w:rPr>
                <w:rFonts w:ascii="IBM Plex Sans" w:hAnsi="IBM Plex Sans" w:cs="Arial"/>
                <w:sz w:val="20"/>
                <w:szCs w:val="20"/>
              </w:rPr>
              <w:t xml:space="preserve"> corresponde a las suspensiones que no calcen en las opciones anteriores.</w:t>
            </w:r>
          </w:p>
        </w:tc>
      </w:tr>
      <w:tr w:rsidR="005078D5" w14:paraId="429E4172" w14:textId="77777777" w:rsidTr="005078D5">
        <w:tc>
          <w:tcPr>
            <w:cnfStyle w:val="001000000000" w:firstRow="0" w:lastRow="0" w:firstColumn="1" w:lastColumn="0" w:oddVBand="0" w:evenVBand="0" w:oddHBand="0" w:evenHBand="0" w:firstRowFirstColumn="0" w:firstRowLastColumn="0" w:lastRowFirstColumn="0" w:lastRowLastColumn="0"/>
            <w:tcW w:w="2405" w:type="dxa"/>
            <w:vMerge w:val="restart"/>
            <w:shd w:val="clear" w:color="auto" w:fill="002060"/>
          </w:tcPr>
          <w:p w14:paraId="2F11C4CE" w14:textId="19ED5C87" w:rsidR="005078D5" w:rsidRPr="003B148C" w:rsidRDefault="005078D5" w:rsidP="009E56C3">
            <w:pPr>
              <w:rPr>
                <w:rFonts w:ascii="IBM Plex Sans" w:hAnsi="IBM Plex Sans" w:cs="Arial"/>
                <w:sz w:val="20"/>
                <w:szCs w:val="20"/>
              </w:rPr>
            </w:pPr>
            <w:r w:rsidRPr="003B148C">
              <w:rPr>
                <w:rFonts w:ascii="IBM Plex Sans" w:hAnsi="IBM Plex Sans" w:cs="Arial"/>
                <w:sz w:val="20"/>
                <w:szCs w:val="20"/>
              </w:rPr>
              <w:t>Tarifas</w:t>
            </w:r>
          </w:p>
        </w:tc>
        <w:tc>
          <w:tcPr>
            <w:tcW w:w="6382" w:type="dxa"/>
          </w:tcPr>
          <w:p w14:paraId="57B7D61F" w14:textId="7E05DCBF" w:rsidR="005078D5" w:rsidRPr="003B148C" w:rsidRDefault="005078D5" w:rsidP="003B148C">
            <w:pPr>
              <w:jc w:val="both"/>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3B148C">
              <w:rPr>
                <w:rFonts w:ascii="IBM Plex Sans" w:hAnsi="IBM Plex Sans" w:cs="Arial"/>
                <w:b/>
                <w:bCs/>
                <w:sz w:val="20"/>
                <w:szCs w:val="20"/>
              </w:rPr>
              <w:t>Tarifas de seguros y pensiones:</w:t>
            </w:r>
            <w:r w:rsidRPr="003B148C">
              <w:rPr>
                <w:rFonts w:ascii="IBM Plex Sans" w:hAnsi="IBM Plex Sans" w:cs="Arial"/>
                <w:sz w:val="20"/>
                <w:szCs w:val="20"/>
              </w:rPr>
              <w:t xml:space="preserve"> la medida autoriza y/o prohíbe la modificación de los precios que pagan los usuarios por los seguros de salud y de pensiones. Por ejemplo: aprobar la reducción a un 25% de la base mínima contributiva vigente en el seguro de salud y en el seguro de pensiones de forma temporal por un período de tres meses improrrogables; es decir, para la facturación de las planillas patronales, aportes de trabajadores independientes (incluye aquellos con Convenio Colectivo) y trabajadores del sector público que reportan jornada parcial según los registros del SICERE, correspondientes a los meses de facturación de marzo, abril y mayo del 2020.</w:t>
            </w:r>
          </w:p>
        </w:tc>
      </w:tr>
      <w:tr w:rsidR="005078D5" w14:paraId="35779422" w14:textId="77777777" w:rsidTr="0050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shd w:val="clear" w:color="auto" w:fill="002060"/>
          </w:tcPr>
          <w:p w14:paraId="4C3A7C7E" w14:textId="77777777" w:rsidR="005078D5" w:rsidRPr="003B148C" w:rsidRDefault="005078D5" w:rsidP="009E56C3">
            <w:pPr>
              <w:rPr>
                <w:rFonts w:ascii="IBM Plex Sans" w:hAnsi="IBM Plex Sans" w:cs="Arial"/>
                <w:sz w:val="20"/>
                <w:szCs w:val="20"/>
              </w:rPr>
            </w:pPr>
          </w:p>
        </w:tc>
        <w:tc>
          <w:tcPr>
            <w:tcW w:w="6382" w:type="dxa"/>
          </w:tcPr>
          <w:p w14:paraId="7AC6BE18" w14:textId="68AFC8AB" w:rsidR="005078D5" w:rsidRPr="003B148C" w:rsidRDefault="005078D5" w:rsidP="003B148C">
            <w:pPr>
              <w:jc w:val="both"/>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3B148C">
              <w:rPr>
                <w:rFonts w:ascii="IBM Plex Sans" w:hAnsi="IBM Plex Sans" w:cs="Arial"/>
                <w:b/>
                <w:bCs/>
                <w:sz w:val="20"/>
                <w:szCs w:val="20"/>
              </w:rPr>
              <w:t>Tarifas fiscales:</w:t>
            </w:r>
            <w:r w:rsidRPr="003B148C">
              <w:rPr>
                <w:rFonts w:ascii="IBM Plex Sans" w:hAnsi="IBM Plex Sans" w:cs="Arial"/>
                <w:sz w:val="20"/>
                <w:szCs w:val="20"/>
              </w:rPr>
              <w:t xml:space="preserve"> la medida autoriza y/o prohíbe la modificación de los impuestos y cánones. Por ejemplo: no aumentar de tarifas portuarias y cánones municipales.</w:t>
            </w:r>
          </w:p>
        </w:tc>
      </w:tr>
      <w:tr w:rsidR="00CD4E3C" w14:paraId="134F0D48" w14:textId="77777777" w:rsidTr="005078D5">
        <w:tc>
          <w:tcPr>
            <w:cnfStyle w:val="001000000000" w:firstRow="0" w:lastRow="0" w:firstColumn="1" w:lastColumn="0" w:oddVBand="0" w:evenVBand="0" w:oddHBand="0" w:evenHBand="0" w:firstRowFirstColumn="0" w:firstRowLastColumn="0" w:lastRowFirstColumn="0" w:lastRowLastColumn="0"/>
            <w:tcW w:w="2405" w:type="dxa"/>
            <w:shd w:val="clear" w:color="auto" w:fill="002060"/>
          </w:tcPr>
          <w:p w14:paraId="4B57654C" w14:textId="17A3ED20" w:rsidR="00CD4E3C" w:rsidRPr="003B148C" w:rsidRDefault="00CD4E3C" w:rsidP="009E56C3">
            <w:pPr>
              <w:rPr>
                <w:rFonts w:ascii="IBM Plex Sans" w:hAnsi="IBM Plex Sans" w:cs="Arial"/>
                <w:sz w:val="20"/>
                <w:szCs w:val="20"/>
              </w:rPr>
            </w:pPr>
            <w:r w:rsidRPr="003B148C">
              <w:rPr>
                <w:rFonts w:ascii="IBM Plex Sans" w:hAnsi="IBM Plex Sans" w:cs="Arial"/>
                <w:sz w:val="20"/>
                <w:szCs w:val="20"/>
              </w:rPr>
              <w:t>Tasa de política monetaria</w:t>
            </w:r>
          </w:p>
        </w:tc>
        <w:tc>
          <w:tcPr>
            <w:tcW w:w="6382" w:type="dxa"/>
          </w:tcPr>
          <w:p w14:paraId="72D5E8C0" w14:textId="5C42653B" w:rsidR="00CD4E3C" w:rsidRPr="003B148C" w:rsidRDefault="005078D5" w:rsidP="003B148C">
            <w:pPr>
              <w:jc w:val="both"/>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3B148C">
              <w:rPr>
                <w:rFonts w:ascii="IBM Plex Sans" w:hAnsi="IBM Plex Sans" w:cs="Arial"/>
                <w:b/>
                <w:bCs/>
                <w:sz w:val="20"/>
                <w:szCs w:val="20"/>
              </w:rPr>
              <w:t>Tasa de política monetaria:</w:t>
            </w:r>
            <w:r w:rsidRPr="003B148C">
              <w:rPr>
                <w:rFonts w:ascii="IBM Plex Sans" w:hAnsi="IBM Plex Sans" w:cs="Arial"/>
                <w:sz w:val="20"/>
                <w:szCs w:val="20"/>
              </w:rPr>
              <w:t xml:space="preserve"> la medida refiere a modificaciones en la tasa de política monetaria. Por ejemplo: la Junta Directiva del Banco Central, en la sesión 5921-2020, redujo la Tasa de Política Monetaria (TPM) en 100 puntos base, para ubicarla en 1,25% anual, a partir del 17 de marzo del 2020.</w:t>
            </w:r>
          </w:p>
        </w:tc>
      </w:tr>
      <w:tr w:rsidR="005078D5" w14:paraId="02405424" w14:textId="77777777" w:rsidTr="0050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val="restart"/>
            <w:shd w:val="clear" w:color="auto" w:fill="002060"/>
          </w:tcPr>
          <w:p w14:paraId="5C8DA2CB" w14:textId="77777777" w:rsidR="005078D5" w:rsidRPr="003B148C" w:rsidRDefault="005078D5" w:rsidP="009E56C3">
            <w:pPr>
              <w:rPr>
                <w:rFonts w:ascii="IBM Plex Sans" w:hAnsi="IBM Plex Sans" w:cs="Arial"/>
                <w:sz w:val="20"/>
                <w:szCs w:val="20"/>
              </w:rPr>
            </w:pPr>
            <w:r w:rsidRPr="003B148C">
              <w:rPr>
                <w:rFonts w:ascii="IBM Plex Sans" w:hAnsi="IBM Plex Sans" w:cs="Arial"/>
                <w:sz w:val="20"/>
                <w:szCs w:val="20"/>
              </w:rPr>
              <w:t>Otros</w:t>
            </w:r>
          </w:p>
        </w:tc>
        <w:tc>
          <w:tcPr>
            <w:tcW w:w="6382" w:type="dxa"/>
          </w:tcPr>
          <w:p w14:paraId="40AB2F3F" w14:textId="29BFC562" w:rsidR="005078D5" w:rsidRPr="003B148C" w:rsidRDefault="005078D5" w:rsidP="003B148C">
            <w:pPr>
              <w:jc w:val="both"/>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3B148C">
              <w:rPr>
                <w:rFonts w:ascii="IBM Plex Sans" w:hAnsi="IBM Plex Sans" w:cs="Arial"/>
                <w:b/>
                <w:bCs/>
                <w:sz w:val="20"/>
                <w:szCs w:val="20"/>
              </w:rPr>
              <w:t>Pensiones y seguros de salud:</w:t>
            </w:r>
            <w:r w:rsidRPr="003B148C">
              <w:rPr>
                <w:rFonts w:ascii="IBM Plex Sans" w:hAnsi="IBM Plex Sans" w:cs="Arial"/>
                <w:sz w:val="20"/>
                <w:szCs w:val="20"/>
              </w:rPr>
              <w:t xml:space="preserve"> la medida otorga el pago de las pensiones y los seguros de salud. Por ejemplo: la Gerencia de Pensiones de la Caja Costarricense de Seguro Social (CCSS) informó que adelantará el depósito de pensiones tanto del Régimen No Contributivo como del Seguro de Invalidez, Vejez y Muerte (IVM) con el propósito de garantizar el pago y permitir a las entidades financieras disponer de los recursos con anterioridad, para que puedan organizar sus plataformas de servicios y evitar aglomeraciones en sus oficinas. El depósito se realizará de forma anticipada el 27 de marzo.</w:t>
            </w:r>
          </w:p>
        </w:tc>
      </w:tr>
      <w:tr w:rsidR="005078D5" w14:paraId="4CC7ED1E" w14:textId="77777777" w:rsidTr="005078D5">
        <w:tc>
          <w:tcPr>
            <w:cnfStyle w:val="001000000000" w:firstRow="0" w:lastRow="0" w:firstColumn="1" w:lastColumn="0" w:oddVBand="0" w:evenVBand="0" w:oddHBand="0" w:evenHBand="0" w:firstRowFirstColumn="0" w:firstRowLastColumn="0" w:lastRowFirstColumn="0" w:lastRowLastColumn="0"/>
            <w:tcW w:w="2405" w:type="dxa"/>
            <w:vMerge/>
            <w:shd w:val="clear" w:color="auto" w:fill="002060"/>
          </w:tcPr>
          <w:p w14:paraId="6C0F2F94" w14:textId="77777777" w:rsidR="005078D5" w:rsidRPr="003B148C" w:rsidRDefault="005078D5" w:rsidP="009E56C3">
            <w:pPr>
              <w:rPr>
                <w:rFonts w:ascii="IBM Plex Sans" w:hAnsi="IBM Plex Sans" w:cs="Arial"/>
                <w:sz w:val="20"/>
                <w:szCs w:val="20"/>
              </w:rPr>
            </w:pPr>
          </w:p>
        </w:tc>
        <w:tc>
          <w:tcPr>
            <w:tcW w:w="6382" w:type="dxa"/>
          </w:tcPr>
          <w:p w14:paraId="1DA13701" w14:textId="51EA716F" w:rsidR="005078D5" w:rsidRPr="003B148C" w:rsidRDefault="005078D5" w:rsidP="003B148C">
            <w:pPr>
              <w:jc w:val="both"/>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3B148C">
              <w:rPr>
                <w:rFonts w:ascii="IBM Plex Sans" w:hAnsi="IBM Plex Sans" w:cs="Arial"/>
                <w:b/>
                <w:bCs/>
                <w:sz w:val="20"/>
                <w:szCs w:val="20"/>
              </w:rPr>
              <w:t>Otros:</w:t>
            </w:r>
            <w:r w:rsidRPr="003B148C">
              <w:rPr>
                <w:rFonts w:ascii="IBM Plex Sans" w:hAnsi="IBM Plex Sans" w:cs="Arial"/>
                <w:sz w:val="20"/>
                <w:szCs w:val="20"/>
              </w:rPr>
              <w:t xml:space="preserve"> cuando la medida no calce en ninguna de las opciones anteriores.</w:t>
            </w:r>
          </w:p>
        </w:tc>
      </w:tr>
    </w:tbl>
    <w:p w14:paraId="78E88ACB" w14:textId="744786EE" w:rsidR="00E077BE" w:rsidRPr="00345DAA" w:rsidRDefault="009D77C2" w:rsidP="00345DAA">
      <w:pPr>
        <w:spacing w:line="240" w:lineRule="auto"/>
        <w:jc w:val="both"/>
        <w:rPr>
          <w:rFonts w:ascii="IBM Plex Sans Light" w:hAnsi="IBM Plex Sans Light" w:cs="Arial"/>
          <w:sz w:val="18"/>
          <w:szCs w:val="18"/>
        </w:rPr>
      </w:pPr>
      <w:r w:rsidRPr="00345DAA">
        <w:rPr>
          <w:rFonts w:ascii="IBM Plex Sans Light" w:hAnsi="IBM Plex Sans Light" w:cs="Arial"/>
          <w:sz w:val="18"/>
          <w:szCs w:val="18"/>
        </w:rPr>
        <w:t>Fuente: Elaboración propia.</w:t>
      </w:r>
    </w:p>
    <w:p w14:paraId="5316903E" w14:textId="77777777" w:rsidR="009D77C2" w:rsidRPr="00345DAA" w:rsidRDefault="009D77C2" w:rsidP="00345DAA">
      <w:pPr>
        <w:spacing w:line="240" w:lineRule="auto"/>
        <w:jc w:val="both"/>
        <w:rPr>
          <w:rFonts w:ascii="IBM Plex Sans" w:hAnsi="IBM Plex Sans" w:cs="Arial"/>
        </w:rPr>
      </w:pPr>
    </w:p>
    <w:p w14:paraId="4F502190" w14:textId="13CC9E02" w:rsidR="00345DAA" w:rsidRPr="00345DAA" w:rsidRDefault="00CA0AFB" w:rsidP="00345DAA">
      <w:pPr>
        <w:pStyle w:val="Ttulo2"/>
        <w:rPr>
          <w:rFonts w:ascii="IBM Plex Sans" w:hAnsi="IBM Plex Sans"/>
        </w:rPr>
      </w:pPr>
      <w:bookmarkStart w:id="12" w:name="_Toc86615282"/>
      <w:r w:rsidRPr="00345DAA">
        <w:rPr>
          <w:rFonts w:ascii="IBM Plex Sans" w:hAnsi="IBM Plex Sans"/>
        </w:rPr>
        <w:t>8</w:t>
      </w:r>
      <w:r w:rsidR="00F31841" w:rsidRPr="00345DAA">
        <w:rPr>
          <w:rFonts w:ascii="IBM Plex Sans" w:hAnsi="IBM Plex Sans"/>
        </w:rPr>
        <w:t>. Institución pública</w:t>
      </w:r>
      <w:r w:rsidR="00345DAA" w:rsidRPr="00345DAA">
        <w:rPr>
          <w:rFonts w:ascii="IBM Plex Sans" w:hAnsi="IBM Plex Sans"/>
        </w:rPr>
        <w:t xml:space="preserve"> (institución)</w:t>
      </w:r>
      <w:bookmarkEnd w:id="12"/>
    </w:p>
    <w:p w14:paraId="0C2183EA" w14:textId="6F1337CA" w:rsidR="00F31841" w:rsidRPr="00345DAA" w:rsidRDefault="00F31841" w:rsidP="00345DAA">
      <w:pPr>
        <w:spacing w:line="240" w:lineRule="auto"/>
        <w:jc w:val="both"/>
        <w:rPr>
          <w:rFonts w:ascii="IBM Plex Sans" w:hAnsi="IBM Plex Sans" w:cs="Arial"/>
        </w:rPr>
      </w:pPr>
      <w:r w:rsidRPr="00345DAA">
        <w:rPr>
          <w:rFonts w:ascii="IBM Plex Sans" w:hAnsi="IBM Plex Sans" w:cs="Arial"/>
        </w:rPr>
        <w:t>Esta variable se compone de tres columnas</w:t>
      </w:r>
      <w:r w:rsidR="00CD4E3C" w:rsidRPr="00345DAA">
        <w:rPr>
          <w:rFonts w:ascii="IBM Plex Sans" w:hAnsi="IBM Plex Sans" w:cs="Arial"/>
        </w:rPr>
        <w:t xml:space="preserve"> de la base de datos</w:t>
      </w:r>
      <w:r w:rsidRPr="00345DAA">
        <w:rPr>
          <w:rFonts w:ascii="IBM Plex Sans" w:hAnsi="IBM Plex Sans" w:cs="Arial"/>
        </w:rPr>
        <w:t xml:space="preserve"> donde se especifican las instituciones públicas responsables de emitir la medida.</w:t>
      </w:r>
    </w:p>
    <w:p w14:paraId="64E1C75D" w14:textId="77777777" w:rsidR="00345DAA" w:rsidRPr="00345DAA" w:rsidRDefault="00F31841" w:rsidP="00345DAA">
      <w:pPr>
        <w:pStyle w:val="Ttulo3"/>
        <w:rPr>
          <w:rFonts w:ascii="IBM Plex Sans" w:hAnsi="IBM Plex Sans"/>
        </w:rPr>
      </w:pPr>
      <w:bookmarkStart w:id="13" w:name="_Toc86615283"/>
      <w:r w:rsidRPr="00345DAA">
        <w:rPr>
          <w:rFonts w:ascii="IBM Plex Sans" w:hAnsi="IBM Plex Sans"/>
        </w:rPr>
        <w:t>Primera institución pública (institucion_1)</w:t>
      </w:r>
      <w:bookmarkEnd w:id="13"/>
    </w:p>
    <w:p w14:paraId="7CCE5D47" w14:textId="031E8448" w:rsidR="00F31841" w:rsidRPr="00345DAA" w:rsidRDefault="00F31841" w:rsidP="00345DAA">
      <w:pPr>
        <w:pStyle w:val="Prrafodelista"/>
        <w:spacing w:line="240" w:lineRule="auto"/>
        <w:ind w:left="360"/>
        <w:jc w:val="both"/>
        <w:rPr>
          <w:rFonts w:ascii="IBM Plex Sans" w:hAnsi="IBM Plex Sans" w:cs="Arial"/>
        </w:rPr>
      </w:pPr>
      <w:r w:rsidRPr="00345DAA">
        <w:rPr>
          <w:rFonts w:ascii="IBM Plex Sans" w:hAnsi="IBM Plex Sans" w:cs="Arial"/>
        </w:rPr>
        <w:t xml:space="preserve">Debe registrarse </w:t>
      </w:r>
      <w:r w:rsidR="00746733" w:rsidRPr="00345DAA">
        <w:rPr>
          <w:rFonts w:ascii="IBM Plex Sans" w:hAnsi="IBM Plex Sans" w:cs="Arial"/>
        </w:rPr>
        <w:t xml:space="preserve">el código numérico de </w:t>
      </w:r>
      <w:r w:rsidRPr="00345DAA">
        <w:rPr>
          <w:rFonts w:ascii="IBM Plex Sans" w:hAnsi="IBM Plex Sans" w:cs="Arial"/>
        </w:rPr>
        <w:t>la institución pública responsable de emitir la medida que posea el primer rango jerárquico</w:t>
      </w:r>
      <w:r w:rsidR="00345DAA">
        <w:rPr>
          <w:rFonts w:ascii="IBM Plex Sans" w:hAnsi="IBM Plex Sans" w:cs="Arial"/>
        </w:rPr>
        <w:t>.</w:t>
      </w:r>
    </w:p>
    <w:p w14:paraId="170B2202" w14:textId="77777777" w:rsidR="00345DAA" w:rsidRPr="00345DAA" w:rsidRDefault="00F31841" w:rsidP="00345DAA">
      <w:pPr>
        <w:pStyle w:val="Ttulo3"/>
        <w:rPr>
          <w:rFonts w:ascii="IBM Plex Sans" w:hAnsi="IBM Plex Sans"/>
        </w:rPr>
      </w:pPr>
      <w:bookmarkStart w:id="14" w:name="_Toc86615284"/>
      <w:r w:rsidRPr="00345DAA">
        <w:rPr>
          <w:rFonts w:ascii="IBM Plex Sans" w:hAnsi="IBM Plex Sans"/>
        </w:rPr>
        <w:t>Segunda institución pública (institucion_2)</w:t>
      </w:r>
      <w:bookmarkEnd w:id="14"/>
    </w:p>
    <w:p w14:paraId="13DD729E" w14:textId="418499C0" w:rsidR="00F31841" w:rsidRPr="00345DAA" w:rsidRDefault="00F31841" w:rsidP="00345DAA">
      <w:pPr>
        <w:pStyle w:val="Prrafodelista"/>
        <w:spacing w:line="240" w:lineRule="auto"/>
        <w:ind w:left="360"/>
        <w:jc w:val="both"/>
        <w:rPr>
          <w:rFonts w:ascii="IBM Plex Sans" w:hAnsi="IBM Plex Sans" w:cs="Arial"/>
        </w:rPr>
      </w:pPr>
      <w:r w:rsidRPr="00345DAA">
        <w:rPr>
          <w:rFonts w:ascii="IBM Plex Sans" w:hAnsi="IBM Plex Sans" w:cs="Arial"/>
        </w:rPr>
        <w:t xml:space="preserve">Debe registrarse </w:t>
      </w:r>
      <w:r w:rsidR="00746733" w:rsidRPr="00345DAA">
        <w:rPr>
          <w:rFonts w:ascii="IBM Plex Sans" w:hAnsi="IBM Plex Sans" w:cs="Arial"/>
        </w:rPr>
        <w:t xml:space="preserve">el código numérico de </w:t>
      </w:r>
      <w:r w:rsidRPr="00345DAA">
        <w:rPr>
          <w:rFonts w:ascii="IBM Plex Sans" w:hAnsi="IBM Plex Sans" w:cs="Arial"/>
        </w:rPr>
        <w:t>la institución pública responsable de emitir la medida que posea el segundo rango jerárquico. En caso de que la medida en cuestión no haya sido emitida por una segunda institución pública, debe registrarse punto (.) en la casilla.</w:t>
      </w:r>
    </w:p>
    <w:p w14:paraId="5D7C5608" w14:textId="77777777" w:rsidR="00345DAA" w:rsidRPr="00345DAA" w:rsidRDefault="00F31841" w:rsidP="00345DAA">
      <w:pPr>
        <w:pStyle w:val="Ttulo3"/>
        <w:rPr>
          <w:rFonts w:ascii="IBM Plex Sans" w:hAnsi="IBM Plex Sans"/>
        </w:rPr>
      </w:pPr>
      <w:bookmarkStart w:id="15" w:name="_Toc86615285"/>
      <w:r w:rsidRPr="00345DAA">
        <w:rPr>
          <w:rFonts w:ascii="IBM Plex Sans" w:hAnsi="IBM Plex Sans"/>
        </w:rPr>
        <w:lastRenderedPageBreak/>
        <w:t>Tercera institución pública (institucion_3)</w:t>
      </w:r>
      <w:bookmarkEnd w:id="15"/>
    </w:p>
    <w:p w14:paraId="3182DAC3" w14:textId="368D1571" w:rsidR="00F31841" w:rsidRPr="00345DAA" w:rsidRDefault="00F31841" w:rsidP="00345DAA">
      <w:pPr>
        <w:pStyle w:val="Prrafodelista"/>
        <w:spacing w:line="240" w:lineRule="auto"/>
        <w:ind w:left="360"/>
        <w:jc w:val="both"/>
        <w:rPr>
          <w:rFonts w:ascii="IBM Plex Sans" w:hAnsi="IBM Plex Sans" w:cs="Arial"/>
        </w:rPr>
      </w:pPr>
      <w:r w:rsidRPr="00345DAA">
        <w:rPr>
          <w:rFonts w:ascii="IBM Plex Sans" w:hAnsi="IBM Plex Sans" w:cs="Arial"/>
        </w:rPr>
        <w:t xml:space="preserve">Debe registrarse </w:t>
      </w:r>
      <w:r w:rsidR="00746733" w:rsidRPr="00345DAA">
        <w:rPr>
          <w:rFonts w:ascii="IBM Plex Sans" w:hAnsi="IBM Plex Sans" w:cs="Arial"/>
        </w:rPr>
        <w:t xml:space="preserve">el código numérico de </w:t>
      </w:r>
      <w:r w:rsidRPr="00345DAA">
        <w:rPr>
          <w:rFonts w:ascii="IBM Plex Sans" w:hAnsi="IBM Plex Sans" w:cs="Arial"/>
        </w:rPr>
        <w:t>la institución pública responsable de emitir la medida que posea el tercer rango jerárquico. En caso de que la medida en cuestión no haya sido emitida por una tercera institución pública, debe registrarse punto (.) en la casilla.</w:t>
      </w:r>
    </w:p>
    <w:p w14:paraId="040F29A2" w14:textId="36BB9F2D" w:rsidR="00F31841" w:rsidRPr="00345DAA" w:rsidRDefault="009517DA" w:rsidP="00345DAA">
      <w:pPr>
        <w:spacing w:line="240" w:lineRule="auto"/>
        <w:jc w:val="both"/>
        <w:rPr>
          <w:rFonts w:ascii="IBM Plex Sans" w:hAnsi="IBM Plex Sans" w:cs="Arial"/>
        </w:rPr>
      </w:pPr>
      <w:r w:rsidRPr="00345DAA">
        <w:rPr>
          <w:rFonts w:ascii="IBM Plex Sans" w:hAnsi="IBM Plex Sans" w:cs="Arial"/>
        </w:rPr>
        <w:t>Es importante aclarar que el investigador o la investigadora debe registrar en la base de datos</w:t>
      </w:r>
      <w:r w:rsidR="00F717FC" w:rsidRPr="00345DAA">
        <w:rPr>
          <w:rFonts w:ascii="IBM Plex Sans" w:hAnsi="IBM Plex Sans" w:cs="Arial"/>
        </w:rPr>
        <w:t>,</w:t>
      </w:r>
      <w:r w:rsidRPr="00345DAA">
        <w:rPr>
          <w:rFonts w:ascii="IBM Plex Sans" w:hAnsi="IBM Plex Sans" w:cs="Arial"/>
        </w:rPr>
        <w:t xml:space="preserve"> </w:t>
      </w:r>
      <w:r w:rsidR="00746733" w:rsidRPr="00345DAA">
        <w:rPr>
          <w:rFonts w:ascii="IBM Plex Sans" w:hAnsi="IBM Plex Sans" w:cs="Arial"/>
        </w:rPr>
        <w:t xml:space="preserve">el código numérico </w:t>
      </w:r>
      <w:r w:rsidRPr="00345DAA">
        <w:rPr>
          <w:rFonts w:ascii="IBM Plex Sans" w:hAnsi="IBM Plex Sans" w:cs="Arial"/>
        </w:rPr>
        <w:t>que aparece en la columna izquierda (de color azul</w:t>
      </w:r>
      <w:r w:rsidR="007A2603" w:rsidRPr="00345DAA">
        <w:rPr>
          <w:rFonts w:ascii="IBM Plex Sans" w:hAnsi="IBM Plex Sans" w:cs="Arial"/>
        </w:rPr>
        <w:t xml:space="preserve"> oscuro</w:t>
      </w:r>
      <w:r w:rsidRPr="00345DAA">
        <w:rPr>
          <w:rFonts w:ascii="IBM Plex Sans" w:hAnsi="IBM Plex Sans" w:cs="Arial"/>
        </w:rPr>
        <w:t>)</w:t>
      </w:r>
      <w:r w:rsidR="009D77C2" w:rsidRPr="00345DAA">
        <w:rPr>
          <w:rFonts w:ascii="IBM Plex Sans" w:hAnsi="IBM Plex Sans" w:cs="Arial"/>
        </w:rPr>
        <w:t xml:space="preserve"> del cuadro 3</w:t>
      </w:r>
      <w:r w:rsidRPr="00345DAA">
        <w:rPr>
          <w:rFonts w:ascii="IBM Plex Sans" w:hAnsi="IBM Plex Sans" w:cs="Arial"/>
        </w:rPr>
        <w:t xml:space="preserve">. Además, </w:t>
      </w:r>
      <w:r w:rsidR="00746733" w:rsidRPr="00345DAA">
        <w:rPr>
          <w:rFonts w:ascii="IBM Plex Sans" w:hAnsi="IBM Plex Sans" w:cs="Arial"/>
        </w:rPr>
        <w:t>en la base de datos se registran hasta tres instituciones públicas</w:t>
      </w:r>
      <w:r w:rsidR="00E8543E" w:rsidRPr="00345DAA">
        <w:rPr>
          <w:rFonts w:ascii="IBM Plex Sans" w:hAnsi="IBM Plex Sans" w:cs="Arial"/>
        </w:rPr>
        <w:t>, e</w:t>
      </w:r>
      <w:r w:rsidR="00746733" w:rsidRPr="00345DAA">
        <w:rPr>
          <w:rFonts w:ascii="IBM Plex Sans" w:hAnsi="IBM Plex Sans" w:cs="Arial"/>
        </w:rPr>
        <w:t>sto significa que si hay más, se debe registrar solo las primeras tres instituciones que apare</w:t>
      </w:r>
      <w:r w:rsidR="00F717FC" w:rsidRPr="00345DAA">
        <w:rPr>
          <w:rFonts w:ascii="IBM Plex Sans" w:hAnsi="IBM Plex Sans" w:cs="Arial"/>
        </w:rPr>
        <w:t>cen</w:t>
      </w:r>
      <w:r w:rsidR="00746733" w:rsidRPr="00345DAA">
        <w:rPr>
          <w:rFonts w:ascii="IBM Plex Sans" w:hAnsi="IBM Plex Sans" w:cs="Arial"/>
        </w:rPr>
        <w:t>, de acuerdo con el orden de la misma norma.</w:t>
      </w:r>
    </w:p>
    <w:p w14:paraId="05E55DB9" w14:textId="250FFA33" w:rsidR="009D77C2" w:rsidRPr="00345DAA" w:rsidRDefault="009D77C2" w:rsidP="002060AF">
      <w:pPr>
        <w:spacing w:after="0" w:line="360" w:lineRule="auto"/>
        <w:jc w:val="both"/>
        <w:rPr>
          <w:rFonts w:ascii="IBM Plex Sans Light" w:hAnsi="IBM Plex Sans Light" w:cs="Arial"/>
          <w:b/>
          <w:bCs/>
        </w:rPr>
      </w:pPr>
      <w:r w:rsidRPr="00345DAA">
        <w:rPr>
          <w:rFonts w:ascii="IBM Plex Sans Light" w:hAnsi="IBM Plex Sans Light" w:cs="Arial"/>
          <w:b/>
          <w:bCs/>
        </w:rPr>
        <w:t>Cuadro 3. Institución pública.</w:t>
      </w:r>
    </w:p>
    <w:tbl>
      <w:tblPr>
        <w:tblStyle w:val="Tablaconcuadrcula5oscura-nfasis1"/>
        <w:tblW w:w="8275" w:type="dxa"/>
        <w:tblLook w:val="04A0" w:firstRow="1" w:lastRow="0" w:firstColumn="1" w:lastColumn="0" w:noHBand="0" w:noVBand="1"/>
      </w:tblPr>
      <w:tblGrid>
        <w:gridCol w:w="1207"/>
        <w:gridCol w:w="7068"/>
      </w:tblGrid>
      <w:tr w:rsidR="007E5C22" w:rsidRPr="00DA1EB3" w14:paraId="49F302F3" w14:textId="77777777" w:rsidTr="00345DAA">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0502065C"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Código numérico</w:t>
            </w:r>
          </w:p>
        </w:tc>
        <w:tc>
          <w:tcPr>
            <w:tcW w:w="7068" w:type="dxa"/>
            <w:shd w:val="clear" w:color="auto" w:fill="002060"/>
            <w:vAlign w:val="center"/>
            <w:hideMark/>
          </w:tcPr>
          <w:p w14:paraId="39BAAFB2" w14:textId="77777777" w:rsidR="007E5C22" w:rsidRPr="00345DAA" w:rsidRDefault="007E5C22" w:rsidP="00345DAA">
            <w:pPr>
              <w:cnfStyle w:val="100000000000" w:firstRow="1" w:lastRow="0" w:firstColumn="0" w:lastColumn="0" w:oddVBand="0" w:evenVBand="0" w:oddHBand="0" w:evenHBand="0" w:firstRowFirstColumn="0" w:firstRowLastColumn="0" w:lastRowFirstColumn="0" w:lastRowLastColumn="0"/>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Institución pública</w:t>
            </w:r>
          </w:p>
        </w:tc>
      </w:tr>
      <w:tr w:rsidR="007E5C22" w:rsidRPr="00DA1EB3" w14:paraId="64723616"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0AC50277"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w:t>
            </w:r>
          </w:p>
        </w:tc>
        <w:tc>
          <w:tcPr>
            <w:tcW w:w="7068" w:type="dxa"/>
            <w:vAlign w:val="center"/>
            <w:hideMark/>
          </w:tcPr>
          <w:p w14:paraId="42FC4F12" w14:textId="1E9A2F06"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Academia Nacional de Ciencias</w:t>
            </w:r>
          </w:p>
        </w:tc>
      </w:tr>
      <w:tr w:rsidR="007E5C22" w:rsidRPr="00DA1EB3" w14:paraId="3DE8675A"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0C91CDF3"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w:t>
            </w:r>
          </w:p>
        </w:tc>
        <w:tc>
          <w:tcPr>
            <w:tcW w:w="7068" w:type="dxa"/>
            <w:vAlign w:val="center"/>
            <w:hideMark/>
          </w:tcPr>
          <w:p w14:paraId="5096A297"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Agencia de Protección de Datos de los Habitantes (PRODHAB)</w:t>
            </w:r>
          </w:p>
        </w:tc>
      </w:tr>
      <w:tr w:rsidR="007E5C22" w:rsidRPr="00DA1EB3" w14:paraId="69D1F590"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17D1C223"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3</w:t>
            </w:r>
          </w:p>
        </w:tc>
        <w:tc>
          <w:tcPr>
            <w:tcW w:w="7068" w:type="dxa"/>
            <w:vAlign w:val="center"/>
            <w:hideMark/>
          </w:tcPr>
          <w:p w14:paraId="65117568" w14:textId="1C0ABD11"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Asamblea Legislativa</w:t>
            </w:r>
          </w:p>
        </w:tc>
      </w:tr>
      <w:tr w:rsidR="007E5C22" w:rsidRPr="00DA1EB3" w14:paraId="0BFCD417"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36C68CE6"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4</w:t>
            </w:r>
          </w:p>
        </w:tc>
        <w:tc>
          <w:tcPr>
            <w:tcW w:w="7068" w:type="dxa"/>
            <w:vAlign w:val="center"/>
            <w:hideMark/>
          </w:tcPr>
          <w:p w14:paraId="7A18297F"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Auditoría General de Servicios de Salud</w:t>
            </w:r>
          </w:p>
        </w:tc>
      </w:tr>
      <w:tr w:rsidR="007E5C22" w:rsidRPr="00DA1EB3" w14:paraId="635615E5"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7D614002"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5</w:t>
            </w:r>
          </w:p>
        </w:tc>
        <w:tc>
          <w:tcPr>
            <w:tcW w:w="7068" w:type="dxa"/>
            <w:vAlign w:val="center"/>
            <w:hideMark/>
          </w:tcPr>
          <w:p w14:paraId="16E17BC6"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Autoridad Reguladora de los Servicios Públicos (ARESEP)</w:t>
            </w:r>
          </w:p>
        </w:tc>
      </w:tr>
      <w:tr w:rsidR="007E5C22" w:rsidRPr="00DA1EB3" w14:paraId="0BA417FD"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7892F084"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6</w:t>
            </w:r>
          </w:p>
        </w:tc>
        <w:tc>
          <w:tcPr>
            <w:tcW w:w="7068" w:type="dxa"/>
            <w:vAlign w:val="center"/>
            <w:hideMark/>
          </w:tcPr>
          <w:p w14:paraId="38220199"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Banco Central de Costa Rica (BCCR)</w:t>
            </w:r>
          </w:p>
        </w:tc>
      </w:tr>
      <w:tr w:rsidR="007E5C22" w:rsidRPr="00DA1EB3" w14:paraId="3E5E500D"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3138EA60"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7</w:t>
            </w:r>
          </w:p>
        </w:tc>
        <w:tc>
          <w:tcPr>
            <w:tcW w:w="7068" w:type="dxa"/>
            <w:vAlign w:val="center"/>
            <w:hideMark/>
          </w:tcPr>
          <w:p w14:paraId="6F8437D1"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Banco de Costa Rica (BCR)</w:t>
            </w:r>
          </w:p>
        </w:tc>
      </w:tr>
      <w:tr w:rsidR="007E5C22" w:rsidRPr="00DA1EB3" w14:paraId="35A690EF"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4331D7C4"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8</w:t>
            </w:r>
          </w:p>
        </w:tc>
        <w:tc>
          <w:tcPr>
            <w:tcW w:w="7068" w:type="dxa"/>
            <w:vAlign w:val="center"/>
            <w:hideMark/>
          </w:tcPr>
          <w:p w14:paraId="6A2F5A42"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Banco Hipotecario de la Vivienda (BANHVI)</w:t>
            </w:r>
          </w:p>
        </w:tc>
      </w:tr>
      <w:tr w:rsidR="007E5C22" w:rsidRPr="00DA1EB3" w14:paraId="10CE2C4F"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5212FD6F"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9</w:t>
            </w:r>
          </w:p>
        </w:tc>
        <w:tc>
          <w:tcPr>
            <w:tcW w:w="7068" w:type="dxa"/>
            <w:vAlign w:val="center"/>
            <w:hideMark/>
          </w:tcPr>
          <w:p w14:paraId="3D9178A5"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Banco Nacional de Costa Rica (BNCR)</w:t>
            </w:r>
          </w:p>
        </w:tc>
      </w:tr>
      <w:tr w:rsidR="007E5C22" w:rsidRPr="00DA1EB3" w14:paraId="495687ED"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5086886C"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10</w:t>
            </w:r>
          </w:p>
        </w:tc>
        <w:tc>
          <w:tcPr>
            <w:tcW w:w="7068" w:type="dxa"/>
            <w:vAlign w:val="center"/>
            <w:hideMark/>
          </w:tcPr>
          <w:p w14:paraId="542C7A24"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Banco Popular y de Desarrollo Comunal (BPDC)</w:t>
            </w:r>
          </w:p>
        </w:tc>
      </w:tr>
      <w:tr w:rsidR="007E5C22" w:rsidRPr="00DA1EB3" w14:paraId="50010FDB"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17A96891"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11</w:t>
            </w:r>
          </w:p>
        </w:tc>
        <w:tc>
          <w:tcPr>
            <w:tcW w:w="7068" w:type="dxa"/>
            <w:vAlign w:val="center"/>
            <w:hideMark/>
          </w:tcPr>
          <w:p w14:paraId="591D3181" w14:textId="5502EDC2"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BCR Corredora de Seguros S.A.</w:t>
            </w:r>
          </w:p>
        </w:tc>
      </w:tr>
      <w:tr w:rsidR="007E5C22" w:rsidRPr="00DA1EB3" w14:paraId="07630CAA" w14:textId="77777777" w:rsidTr="00345DAA">
        <w:trPr>
          <w:trHeight w:val="6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53CA3746"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12</w:t>
            </w:r>
          </w:p>
        </w:tc>
        <w:tc>
          <w:tcPr>
            <w:tcW w:w="7068" w:type="dxa"/>
            <w:vAlign w:val="center"/>
            <w:hideMark/>
          </w:tcPr>
          <w:p w14:paraId="0FB755CB"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BCR Pensión Operadora de Planes de Pensiones Complementarias S.A.</w:t>
            </w:r>
          </w:p>
        </w:tc>
      </w:tr>
      <w:tr w:rsidR="007E5C22" w:rsidRPr="00DA1EB3" w14:paraId="51BFC672" w14:textId="77777777" w:rsidTr="00345DA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7DE986E8"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13</w:t>
            </w:r>
          </w:p>
        </w:tc>
        <w:tc>
          <w:tcPr>
            <w:tcW w:w="7068" w:type="dxa"/>
            <w:vAlign w:val="center"/>
            <w:hideMark/>
          </w:tcPr>
          <w:p w14:paraId="02E9787B" w14:textId="6B69CDA4"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BCR Sociedad Administradora de Fondos de Inversión S.A. (SAFI)</w:t>
            </w:r>
          </w:p>
        </w:tc>
      </w:tr>
      <w:tr w:rsidR="007E5C22" w:rsidRPr="00DA1EB3" w14:paraId="347CBFF4"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452CF35C"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14</w:t>
            </w:r>
          </w:p>
        </w:tc>
        <w:tc>
          <w:tcPr>
            <w:tcW w:w="7068" w:type="dxa"/>
            <w:vAlign w:val="center"/>
            <w:hideMark/>
          </w:tcPr>
          <w:p w14:paraId="6880E923"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BCR Valores Puesto de Bolsa S.A.</w:t>
            </w:r>
          </w:p>
        </w:tc>
      </w:tr>
      <w:tr w:rsidR="007E5C22" w:rsidRPr="00DA1EB3" w14:paraId="1E47E5DD"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30DCBE1F"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15</w:t>
            </w:r>
          </w:p>
        </w:tc>
        <w:tc>
          <w:tcPr>
            <w:tcW w:w="7068" w:type="dxa"/>
            <w:vAlign w:val="center"/>
            <w:hideMark/>
          </w:tcPr>
          <w:p w14:paraId="1F7673DF"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Benemérito Cuerpo de Bomberos de C.R (al INS)</w:t>
            </w:r>
          </w:p>
        </w:tc>
      </w:tr>
      <w:tr w:rsidR="007E5C22" w:rsidRPr="00DA1EB3" w14:paraId="2B62F00F"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474A1D6F"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16</w:t>
            </w:r>
          </w:p>
        </w:tc>
        <w:tc>
          <w:tcPr>
            <w:tcW w:w="7068" w:type="dxa"/>
            <w:vAlign w:val="center"/>
            <w:hideMark/>
          </w:tcPr>
          <w:p w14:paraId="0158167A"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BN Sociedad Administradora de Fondos de Inversión S.A.</w:t>
            </w:r>
          </w:p>
        </w:tc>
      </w:tr>
      <w:tr w:rsidR="007E5C22" w:rsidRPr="00DA1EB3" w14:paraId="4A5FFE60"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0DA02999"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17</w:t>
            </w:r>
          </w:p>
        </w:tc>
        <w:tc>
          <w:tcPr>
            <w:tcW w:w="7068" w:type="dxa"/>
            <w:vAlign w:val="center"/>
            <w:hideMark/>
          </w:tcPr>
          <w:p w14:paraId="54688FC3" w14:textId="54841D6D"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BN Sociedad Corredora de Seguros S.A.</w:t>
            </w:r>
          </w:p>
        </w:tc>
      </w:tr>
      <w:tr w:rsidR="007E5C22" w:rsidRPr="00DA1EB3" w14:paraId="6C338748"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5FAE7274"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18</w:t>
            </w:r>
          </w:p>
        </w:tc>
        <w:tc>
          <w:tcPr>
            <w:tcW w:w="7068" w:type="dxa"/>
            <w:vAlign w:val="center"/>
            <w:hideMark/>
          </w:tcPr>
          <w:p w14:paraId="4269B437"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BN Valores Puesto de Bolsa S.A.</w:t>
            </w:r>
          </w:p>
        </w:tc>
      </w:tr>
      <w:tr w:rsidR="007E5C22" w:rsidRPr="00DA1EB3" w14:paraId="0A9F8599" w14:textId="77777777" w:rsidTr="00345DA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0FD9C52D"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19</w:t>
            </w:r>
          </w:p>
        </w:tc>
        <w:tc>
          <w:tcPr>
            <w:tcW w:w="7068" w:type="dxa"/>
            <w:vAlign w:val="center"/>
            <w:hideMark/>
          </w:tcPr>
          <w:p w14:paraId="306E181B"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BN Vital Operadora de Planes de Pensiones Complementarias S.A.</w:t>
            </w:r>
          </w:p>
        </w:tc>
      </w:tr>
      <w:tr w:rsidR="007E5C22" w:rsidRPr="00DA1EB3" w14:paraId="53966EC1"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24D5047E"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20</w:t>
            </w:r>
          </w:p>
        </w:tc>
        <w:tc>
          <w:tcPr>
            <w:tcW w:w="7068" w:type="dxa"/>
            <w:vAlign w:val="center"/>
            <w:hideMark/>
          </w:tcPr>
          <w:p w14:paraId="1B1A1B4F"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Caja Costarricense de Seguro Social (CCSS)</w:t>
            </w:r>
          </w:p>
        </w:tc>
      </w:tr>
      <w:tr w:rsidR="007E5C22" w:rsidRPr="00DA1EB3" w14:paraId="3FB95BE0"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4D23BFC6"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21</w:t>
            </w:r>
          </w:p>
        </w:tc>
        <w:tc>
          <w:tcPr>
            <w:tcW w:w="7068" w:type="dxa"/>
            <w:vAlign w:val="center"/>
            <w:hideMark/>
          </w:tcPr>
          <w:p w14:paraId="6F80EAB7"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Casa de la Cultura de Puntarenas</w:t>
            </w:r>
          </w:p>
        </w:tc>
      </w:tr>
      <w:tr w:rsidR="007E5C22" w:rsidRPr="00DA1EB3" w14:paraId="25AF7A20"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450681B5"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22</w:t>
            </w:r>
          </w:p>
        </w:tc>
        <w:tc>
          <w:tcPr>
            <w:tcW w:w="7068" w:type="dxa"/>
            <w:vAlign w:val="center"/>
            <w:hideMark/>
          </w:tcPr>
          <w:p w14:paraId="25AAD4B9"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Centro Costarricense de Producción Cinematográfica</w:t>
            </w:r>
          </w:p>
        </w:tc>
      </w:tr>
      <w:tr w:rsidR="007E5C22" w:rsidRPr="00DA1EB3" w14:paraId="566FA091"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57ECEAF3"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23</w:t>
            </w:r>
          </w:p>
        </w:tc>
        <w:tc>
          <w:tcPr>
            <w:tcW w:w="7068" w:type="dxa"/>
            <w:vAlign w:val="center"/>
            <w:hideMark/>
          </w:tcPr>
          <w:p w14:paraId="36FE5780"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Centro Cultural e Histórico José Figueres Ferrer</w:t>
            </w:r>
          </w:p>
        </w:tc>
      </w:tr>
      <w:tr w:rsidR="007E5C22" w:rsidRPr="00DA1EB3" w14:paraId="78A4CCCB" w14:textId="77777777" w:rsidTr="00345DAA">
        <w:trPr>
          <w:trHeight w:val="6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136FB711"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24</w:t>
            </w:r>
          </w:p>
        </w:tc>
        <w:tc>
          <w:tcPr>
            <w:tcW w:w="7068" w:type="dxa"/>
            <w:vAlign w:val="center"/>
            <w:hideMark/>
          </w:tcPr>
          <w:p w14:paraId="3FCEB93A"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Centro Histórico de la Reforma Agraria de Costa Rica y el Parque Temático (al INDER</w:t>
            </w:r>
          </w:p>
        </w:tc>
      </w:tr>
      <w:tr w:rsidR="007E5C22" w:rsidRPr="00DA1EB3" w14:paraId="37A9A5C5"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65518912"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25</w:t>
            </w:r>
          </w:p>
        </w:tc>
        <w:tc>
          <w:tcPr>
            <w:tcW w:w="7068" w:type="dxa"/>
            <w:vAlign w:val="center"/>
            <w:hideMark/>
          </w:tcPr>
          <w:p w14:paraId="0404652A"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Centro Nacional de la Música</w:t>
            </w:r>
          </w:p>
        </w:tc>
      </w:tr>
      <w:tr w:rsidR="007E5C22" w:rsidRPr="00DA1EB3" w14:paraId="6F16DF4E"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0249422C"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26</w:t>
            </w:r>
          </w:p>
        </w:tc>
        <w:tc>
          <w:tcPr>
            <w:tcW w:w="7068" w:type="dxa"/>
            <w:vAlign w:val="center"/>
            <w:hideMark/>
          </w:tcPr>
          <w:p w14:paraId="4F7C5006"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Colegio de Abogados</w:t>
            </w:r>
          </w:p>
        </w:tc>
      </w:tr>
      <w:tr w:rsidR="007E5C22" w:rsidRPr="00DA1EB3" w14:paraId="6385F95D"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5B819E1B"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27</w:t>
            </w:r>
          </w:p>
        </w:tc>
        <w:tc>
          <w:tcPr>
            <w:tcW w:w="7068" w:type="dxa"/>
            <w:vAlign w:val="center"/>
            <w:hideMark/>
          </w:tcPr>
          <w:p w14:paraId="169B6BDF"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Colegio de Biólogos</w:t>
            </w:r>
          </w:p>
        </w:tc>
      </w:tr>
      <w:tr w:rsidR="007E5C22" w:rsidRPr="00DA1EB3" w14:paraId="0A769BE5"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25BC5D32"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lastRenderedPageBreak/>
              <w:t>28</w:t>
            </w:r>
          </w:p>
        </w:tc>
        <w:tc>
          <w:tcPr>
            <w:tcW w:w="7068" w:type="dxa"/>
            <w:vAlign w:val="center"/>
            <w:hideMark/>
          </w:tcPr>
          <w:p w14:paraId="46501D08"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Colegio de Ciencias Económicas de Costa Rica</w:t>
            </w:r>
          </w:p>
        </w:tc>
      </w:tr>
      <w:tr w:rsidR="007E5C22" w:rsidRPr="00DA1EB3" w14:paraId="1E5A10F6"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03474775"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29</w:t>
            </w:r>
          </w:p>
        </w:tc>
        <w:tc>
          <w:tcPr>
            <w:tcW w:w="7068" w:type="dxa"/>
            <w:vAlign w:val="center"/>
            <w:hideMark/>
          </w:tcPr>
          <w:p w14:paraId="608D0DDF"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Colegio de Cirujanos Dentistas de Costa Rica</w:t>
            </w:r>
          </w:p>
        </w:tc>
      </w:tr>
      <w:tr w:rsidR="007E5C22" w:rsidRPr="00DA1EB3" w14:paraId="36646100"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00497BE5"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30</w:t>
            </w:r>
          </w:p>
        </w:tc>
        <w:tc>
          <w:tcPr>
            <w:tcW w:w="7068" w:type="dxa"/>
            <w:vAlign w:val="center"/>
            <w:hideMark/>
          </w:tcPr>
          <w:p w14:paraId="1E22C175"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Colegio de Contadores Privados de Costa Rica</w:t>
            </w:r>
          </w:p>
        </w:tc>
      </w:tr>
      <w:tr w:rsidR="007E5C22" w:rsidRPr="00DA1EB3" w14:paraId="7C3D0134"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43EA0767"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31</w:t>
            </w:r>
          </w:p>
        </w:tc>
        <w:tc>
          <w:tcPr>
            <w:tcW w:w="7068" w:type="dxa"/>
            <w:vAlign w:val="center"/>
            <w:hideMark/>
          </w:tcPr>
          <w:p w14:paraId="042AE26C"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Colegio de Contadores Públicos de Costa Rica</w:t>
            </w:r>
          </w:p>
        </w:tc>
      </w:tr>
      <w:tr w:rsidR="007E5C22" w:rsidRPr="00DA1EB3" w14:paraId="00B6E711"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4B641C07"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32</w:t>
            </w:r>
          </w:p>
        </w:tc>
        <w:tc>
          <w:tcPr>
            <w:tcW w:w="7068" w:type="dxa"/>
            <w:vAlign w:val="center"/>
            <w:hideMark/>
          </w:tcPr>
          <w:p w14:paraId="5A94275C"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Colegio de Enfermeras de Costa Rica</w:t>
            </w:r>
          </w:p>
        </w:tc>
      </w:tr>
      <w:tr w:rsidR="007E5C22" w:rsidRPr="00DA1EB3" w14:paraId="13C85986"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03CB2735"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33</w:t>
            </w:r>
          </w:p>
        </w:tc>
        <w:tc>
          <w:tcPr>
            <w:tcW w:w="7068" w:type="dxa"/>
            <w:vAlign w:val="center"/>
            <w:hideMark/>
          </w:tcPr>
          <w:p w14:paraId="23ABE04B"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Colegio de Farmacéuticos</w:t>
            </w:r>
          </w:p>
        </w:tc>
      </w:tr>
      <w:tr w:rsidR="007E5C22" w:rsidRPr="00DA1EB3" w14:paraId="33472E2C"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081F2DAE"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34</w:t>
            </w:r>
          </w:p>
        </w:tc>
        <w:tc>
          <w:tcPr>
            <w:tcW w:w="7068" w:type="dxa"/>
            <w:vAlign w:val="center"/>
            <w:hideMark/>
          </w:tcPr>
          <w:p w14:paraId="2F282CB0"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Colegio de Físicos</w:t>
            </w:r>
          </w:p>
        </w:tc>
      </w:tr>
      <w:tr w:rsidR="007E5C22" w:rsidRPr="00DA1EB3" w14:paraId="10D7F3DF"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4CC32217"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35</w:t>
            </w:r>
          </w:p>
        </w:tc>
        <w:tc>
          <w:tcPr>
            <w:tcW w:w="7068" w:type="dxa"/>
            <w:vAlign w:val="center"/>
            <w:hideMark/>
          </w:tcPr>
          <w:p w14:paraId="74FFB537"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Colegio de Geólogos</w:t>
            </w:r>
          </w:p>
        </w:tc>
      </w:tr>
      <w:tr w:rsidR="007E5C22" w:rsidRPr="00DA1EB3" w14:paraId="7F7BA0E6"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47B37346"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36</w:t>
            </w:r>
          </w:p>
        </w:tc>
        <w:tc>
          <w:tcPr>
            <w:tcW w:w="7068" w:type="dxa"/>
            <w:vAlign w:val="center"/>
            <w:hideMark/>
          </w:tcPr>
          <w:p w14:paraId="4A5A2649"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Colegio de Ingenieros Agrónomos de Costa Rica</w:t>
            </w:r>
          </w:p>
        </w:tc>
      </w:tr>
      <w:tr w:rsidR="007E5C22" w:rsidRPr="00DA1EB3" w14:paraId="3E6ECC83"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44D8845A"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37</w:t>
            </w:r>
          </w:p>
        </w:tc>
        <w:tc>
          <w:tcPr>
            <w:tcW w:w="7068" w:type="dxa"/>
            <w:vAlign w:val="center"/>
            <w:hideMark/>
          </w:tcPr>
          <w:p w14:paraId="415A40A5"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Colegio de Ingenieros Químicos y Profesionales Afines</w:t>
            </w:r>
          </w:p>
        </w:tc>
      </w:tr>
      <w:tr w:rsidR="007E5C22" w:rsidRPr="00DA1EB3" w14:paraId="51B93AD6" w14:textId="77777777" w:rsidTr="00345DAA">
        <w:trPr>
          <w:trHeight w:val="6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3BA89DE0"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38</w:t>
            </w:r>
          </w:p>
        </w:tc>
        <w:tc>
          <w:tcPr>
            <w:tcW w:w="7068" w:type="dxa"/>
            <w:vAlign w:val="center"/>
            <w:hideMark/>
          </w:tcPr>
          <w:p w14:paraId="4EBD5D83"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Colegio de Licenciados y Profesores en Letras, Filosofía, Ciencias y Artes (COLYPRO)</w:t>
            </w:r>
          </w:p>
        </w:tc>
      </w:tr>
      <w:tr w:rsidR="007E5C22" w:rsidRPr="00DA1EB3" w14:paraId="14C367CC"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4A131230"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39</w:t>
            </w:r>
          </w:p>
        </w:tc>
        <w:tc>
          <w:tcPr>
            <w:tcW w:w="7068" w:type="dxa"/>
            <w:vAlign w:val="center"/>
            <w:hideMark/>
          </w:tcPr>
          <w:p w14:paraId="58AD8B3C"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Colegio de Médicos Veterinarios</w:t>
            </w:r>
          </w:p>
        </w:tc>
      </w:tr>
      <w:tr w:rsidR="007E5C22" w:rsidRPr="00DA1EB3" w14:paraId="594A0337"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2771BF46"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40</w:t>
            </w:r>
          </w:p>
        </w:tc>
        <w:tc>
          <w:tcPr>
            <w:tcW w:w="7068" w:type="dxa"/>
            <w:vAlign w:val="center"/>
            <w:hideMark/>
          </w:tcPr>
          <w:p w14:paraId="51C3A2D1"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Colegio de Médicos y Cirujanos</w:t>
            </w:r>
          </w:p>
        </w:tc>
      </w:tr>
      <w:tr w:rsidR="007E5C22" w:rsidRPr="00DA1EB3" w14:paraId="6989D188"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076A4647"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41</w:t>
            </w:r>
          </w:p>
        </w:tc>
        <w:tc>
          <w:tcPr>
            <w:tcW w:w="7068" w:type="dxa"/>
            <w:vAlign w:val="center"/>
            <w:hideMark/>
          </w:tcPr>
          <w:p w14:paraId="1316B77C"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Colegio de Microbiólogos y Químicos Clínicos de Costa Rica</w:t>
            </w:r>
          </w:p>
        </w:tc>
      </w:tr>
      <w:tr w:rsidR="007E5C22" w:rsidRPr="00DA1EB3" w14:paraId="5ECF5322"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6738452A"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42</w:t>
            </w:r>
          </w:p>
        </w:tc>
        <w:tc>
          <w:tcPr>
            <w:tcW w:w="7068" w:type="dxa"/>
            <w:vAlign w:val="center"/>
            <w:hideMark/>
          </w:tcPr>
          <w:p w14:paraId="74C258A3"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Colegio de Optometristas de Costa Rica</w:t>
            </w:r>
          </w:p>
        </w:tc>
      </w:tr>
      <w:tr w:rsidR="007E5C22" w:rsidRPr="00DA1EB3" w14:paraId="1C30C71C"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52B52B2C"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43</w:t>
            </w:r>
          </w:p>
        </w:tc>
        <w:tc>
          <w:tcPr>
            <w:tcW w:w="7068" w:type="dxa"/>
            <w:vAlign w:val="center"/>
            <w:hideMark/>
          </w:tcPr>
          <w:p w14:paraId="0B461F70"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Colegio de Periodistas de Costa Rica</w:t>
            </w:r>
          </w:p>
        </w:tc>
      </w:tr>
      <w:tr w:rsidR="007E5C22" w:rsidRPr="00DA1EB3" w14:paraId="5DB0FCEA"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16533239"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44</w:t>
            </w:r>
          </w:p>
        </w:tc>
        <w:tc>
          <w:tcPr>
            <w:tcW w:w="7068" w:type="dxa"/>
            <w:vAlign w:val="center"/>
            <w:hideMark/>
          </w:tcPr>
          <w:p w14:paraId="10BA7F44"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Colegio de Profesionales en Bibliotecología de Costa Rica</w:t>
            </w:r>
          </w:p>
        </w:tc>
      </w:tr>
      <w:tr w:rsidR="007E5C22" w:rsidRPr="00DA1EB3" w14:paraId="475163B8" w14:textId="77777777" w:rsidTr="00345DA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69E37319"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45</w:t>
            </w:r>
          </w:p>
        </w:tc>
        <w:tc>
          <w:tcPr>
            <w:tcW w:w="7068" w:type="dxa"/>
            <w:vAlign w:val="center"/>
            <w:hideMark/>
          </w:tcPr>
          <w:p w14:paraId="55C37AF8"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Colegio de Profesionales en Ciencias Políticas y Relaciones Internacionales</w:t>
            </w:r>
          </w:p>
        </w:tc>
      </w:tr>
      <w:tr w:rsidR="007E5C22" w:rsidRPr="00DA1EB3" w14:paraId="2CBD4694"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186B6BB4"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46</w:t>
            </w:r>
          </w:p>
        </w:tc>
        <w:tc>
          <w:tcPr>
            <w:tcW w:w="7068" w:type="dxa"/>
            <w:vAlign w:val="center"/>
            <w:hideMark/>
          </w:tcPr>
          <w:p w14:paraId="6C0F9468"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Colegio de Profesionales en Criminología de Costa Rica</w:t>
            </w:r>
          </w:p>
        </w:tc>
      </w:tr>
      <w:tr w:rsidR="007E5C22" w:rsidRPr="00DA1EB3" w14:paraId="48ABB928"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74496BB6"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47</w:t>
            </w:r>
          </w:p>
        </w:tc>
        <w:tc>
          <w:tcPr>
            <w:tcW w:w="7068" w:type="dxa"/>
            <w:vAlign w:val="center"/>
            <w:hideMark/>
          </w:tcPr>
          <w:p w14:paraId="3FB61E0D"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Colegio de Profesionales en Geografía</w:t>
            </w:r>
          </w:p>
        </w:tc>
      </w:tr>
      <w:tr w:rsidR="007E5C22" w:rsidRPr="00DA1EB3" w14:paraId="73F3CA54"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7EEB049A"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48</w:t>
            </w:r>
          </w:p>
        </w:tc>
        <w:tc>
          <w:tcPr>
            <w:tcW w:w="7068" w:type="dxa"/>
            <w:vAlign w:val="center"/>
            <w:hideMark/>
          </w:tcPr>
          <w:p w14:paraId="191C7651"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Colegio de Profesionales en Informática y Computación</w:t>
            </w:r>
          </w:p>
        </w:tc>
      </w:tr>
      <w:tr w:rsidR="007E5C22" w:rsidRPr="00DA1EB3" w14:paraId="1CEAD61B"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6AA5EE9A"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49</w:t>
            </w:r>
          </w:p>
        </w:tc>
        <w:tc>
          <w:tcPr>
            <w:tcW w:w="7068" w:type="dxa"/>
            <w:vAlign w:val="center"/>
            <w:hideMark/>
          </w:tcPr>
          <w:p w14:paraId="7ABF6DF9"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Colegio de Profesionales en Nutrición</w:t>
            </w:r>
          </w:p>
        </w:tc>
      </w:tr>
      <w:tr w:rsidR="007E5C22" w:rsidRPr="00DA1EB3" w14:paraId="6F59E2E8"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78248BF8"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50</w:t>
            </w:r>
          </w:p>
        </w:tc>
        <w:tc>
          <w:tcPr>
            <w:tcW w:w="7068" w:type="dxa"/>
            <w:vAlign w:val="center"/>
            <w:hideMark/>
          </w:tcPr>
          <w:p w14:paraId="2D1A91D8"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Colegio de Profesionales en Orientación</w:t>
            </w:r>
          </w:p>
        </w:tc>
      </w:tr>
      <w:tr w:rsidR="007E5C22" w:rsidRPr="00DA1EB3" w14:paraId="08AD2766"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6662DD82"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51</w:t>
            </w:r>
          </w:p>
        </w:tc>
        <w:tc>
          <w:tcPr>
            <w:tcW w:w="7068" w:type="dxa"/>
            <w:vAlign w:val="center"/>
            <w:hideMark/>
          </w:tcPr>
          <w:p w14:paraId="79D8AE8C"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Colegio de Profesionales en Quiropráctica</w:t>
            </w:r>
          </w:p>
        </w:tc>
      </w:tr>
      <w:tr w:rsidR="007E5C22" w:rsidRPr="00DA1EB3" w14:paraId="332C1AB0"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75CD3550"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52</w:t>
            </w:r>
          </w:p>
        </w:tc>
        <w:tc>
          <w:tcPr>
            <w:tcW w:w="7068" w:type="dxa"/>
            <w:vAlign w:val="center"/>
            <w:hideMark/>
          </w:tcPr>
          <w:p w14:paraId="5C834648"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Colegio de Profesionales en Sociología de Costa Rica</w:t>
            </w:r>
          </w:p>
        </w:tc>
      </w:tr>
      <w:tr w:rsidR="007E5C22" w:rsidRPr="00DA1EB3" w14:paraId="0BDA251B"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3E08A64F"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53</w:t>
            </w:r>
          </w:p>
        </w:tc>
        <w:tc>
          <w:tcPr>
            <w:tcW w:w="7068" w:type="dxa"/>
            <w:vAlign w:val="center"/>
            <w:hideMark/>
          </w:tcPr>
          <w:p w14:paraId="6CE0EC67"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Colegio de Químicos de Costa Rica</w:t>
            </w:r>
          </w:p>
        </w:tc>
      </w:tr>
      <w:tr w:rsidR="007E5C22" w:rsidRPr="00DA1EB3" w14:paraId="4CA20C11"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4ACE2FAF"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54</w:t>
            </w:r>
          </w:p>
        </w:tc>
        <w:tc>
          <w:tcPr>
            <w:tcW w:w="7068" w:type="dxa"/>
            <w:vAlign w:val="center"/>
            <w:hideMark/>
          </w:tcPr>
          <w:p w14:paraId="63083339"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Colegio de Secretariado Profesional de Costa Rica</w:t>
            </w:r>
          </w:p>
        </w:tc>
      </w:tr>
      <w:tr w:rsidR="007E5C22" w:rsidRPr="00DA1EB3" w14:paraId="21202D6A"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7FB5B366"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55</w:t>
            </w:r>
          </w:p>
        </w:tc>
        <w:tc>
          <w:tcPr>
            <w:tcW w:w="7068" w:type="dxa"/>
            <w:vAlign w:val="center"/>
            <w:hideMark/>
          </w:tcPr>
          <w:p w14:paraId="78B05E57"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Colegio de Terapeutas</w:t>
            </w:r>
          </w:p>
        </w:tc>
      </w:tr>
      <w:tr w:rsidR="007E5C22" w:rsidRPr="00DA1EB3" w14:paraId="4181460C"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6A7AEE15"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56</w:t>
            </w:r>
          </w:p>
        </w:tc>
        <w:tc>
          <w:tcPr>
            <w:tcW w:w="7068" w:type="dxa"/>
            <w:vAlign w:val="center"/>
            <w:hideMark/>
          </w:tcPr>
          <w:p w14:paraId="090C8CC6"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Colegio de Trabajadores Sociales</w:t>
            </w:r>
          </w:p>
        </w:tc>
      </w:tr>
      <w:tr w:rsidR="007E5C22" w:rsidRPr="00DA1EB3" w14:paraId="3F29216D"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17690417"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57</w:t>
            </w:r>
          </w:p>
        </w:tc>
        <w:tc>
          <w:tcPr>
            <w:tcW w:w="7068" w:type="dxa"/>
            <w:vAlign w:val="center"/>
            <w:hideMark/>
          </w:tcPr>
          <w:p w14:paraId="32CEB601"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Colegio Federado de Ingenieros y Arquitectos (CFIA)</w:t>
            </w:r>
          </w:p>
        </w:tc>
      </w:tr>
      <w:tr w:rsidR="007E5C22" w:rsidRPr="00DA1EB3" w14:paraId="1440EB56"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27F41D01"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58</w:t>
            </w:r>
          </w:p>
        </w:tc>
        <w:tc>
          <w:tcPr>
            <w:tcW w:w="7068" w:type="dxa"/>
            <w:vAlign w:val="center"/>
            <w:hideMark/>
          </w:tcPr>
          <w:p w14:paraId="5B097100"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Colegio Profesional de Psicólogos de Costa Rica</w:t>
            </w:r>
          </w:p>
        </w:tc>
      </w:tr>
      <w:tr w:rsidR="007E5C22" w:rsidRPr="00DA1EB3" w14:paraId="0CE181F8"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19911005"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59</w:t>
            </w:r>
          </w:p>
        </w:tc>
        <w:tc>
          <w:tcPr>
            <w:tcW w:w="7068" w:type="dxa"/>
            <w:vAlign w:val="center"/>
            <w:hideMark/>
          </w:tcPr>
          <w:p w14:paraId="6D20581F" w14:textId="6303FE61"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Colegio San Luis Gonzaga de Cartago</w:t>
            </w:r>
          </w:p>
        </w:tc>
      </w:tr>
      <w:tr w:rsidR="007E5C22" w:rsidRPr="00DA1EB3" w14:paraId="7C484C81"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4243BF5D"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60</w:t>
            </w:r>
          </w:p>
        </w:tc>
        <w:tc>
          <w:tcPr>
            <w:tcW w:w="7068" w:type="dxa"/>
            <w:vAlign w:val="center"/>
            <w:hideMark/>
          </w:tcPr>
          <w:p w14:paraId="3C113C6F"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Colegio Universitario de Cartago (CUC)</w:t>
            </w:r>
          </w:p>
        </w:tc>
      </w:tr>
      <w:tr w:rsidR="007E5C22" w:rsidRPr="00DA1EB3" w14:paraId="6DDFA041"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7CABFD6D"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61</w:t>
            </w:r>
          </w:p>
        </w:tc>
        <w:tc>
          <w:tcPr>
            <w:tcW w:w="7068" w:type="dxa"/>
            <w:vAlign w:val="center"/>
            <w:hideMark/>
          </w:tcPr>
          <w:p w14:paraId="6D263582"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Colegio Universitario de Limón (CUNLIMON)</w:t>
            </w:r>
          </w:p>
        </w:tc>
      </w:tr>
      <w:tr w:rsidR="007E5C22" w:rsidRPr="00DA1EB3" w14:paraId="539F5745"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3713CA56"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62</w:t>
            </w:r>
          </w:p>
        </w:tc>
        <w:tc>
          <w:tcPr>
            <w:tcW w:w="7068" w:type="dxa"/>
            <w:vAlign w:val="center"/>
            <w:hideMark/>
          </w:tcPr>
          <w:p w14:paraId="0D460E4D" w14:textId="2B42BAD6"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Comisión Costarricense de Cooperación con UNESCO</w:t>
            </w:r>
          </w:p>
        </w:tc>
      </w:tr>
      <w:tr w:rsidR="007E5C22" w:rsidRPr="00DA1EB3" w14:paraId="4578AF30"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22E3CDDB"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63</w:t>
            </w:r>
          </w:p>
        </w:tc>
        <w:tc>
          <w:tcPr>
            <w:tcW w:w="7068" w:type="dxa"/>
            <w:vAlign w:val="center"/>
            <w:hideMark/>
          </w:tcPr>
          <w:p w14:paraId="185D1198"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Comisión de Energía Atómica (CEA)</w:t>
            </w:r>
          </w:p>
        </w:tc>
      </w:tr>
      <w:tr w:rsidR="007E5C22" w:rsidRPr="00DA1EB3" w14:paraId="4E10E65A" w14:textId="77777777" w:rsidTr="00345DAA">
        <w:trPr>
          <w:trHeight w:val="6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41E59C67"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64</w:t>
            </w:r>
          </w:p>
        </w:tc>
        <w:tc>
          <w:tcPr>
            <w:tcW w:w="7068" w:type="dxa"/>
            <w:vAlign w:val="center"/>
            <w:hideMark/>
          </w:tcPr>
          <w:p w14:paraId="20ADFEB3"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Comisión de Ordenamiento y Manejo de la Cuenca Alta del Río Reventazón (COMCURE)</w:t>
            </w:r>
          </w:p>
        </w:tc>
      </w:tr>
      <w:tr w:rsidR="007E5C22" w:rsidRPr="00DA1EB3" w14:paraId="0871183A" w14:textId="77777777" w:rsidTr="00345DA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7961F5EA"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65</w:t>
            </w:r>
          </w:p>
        </w:tc>
        <w:tc>
          <w:tcPr>
            <w:tcW w:w="7068" w:type="dxa"/>
            <w:vAlign w:val="center"/>
            <w:hideMark/>
          </w:tcPr>
          <w:p w14:paraId="3E240F70"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Comisión Interinstitucional de Marinas y Atracaderos turísticos (CIMAT) (al ICT)</w:t>
            </w:r>
          </w:p>
        </w:tc>
      </w:tr>
      <w:tr w:rsidR="007E5C22" w:rsidRPr="00DA1EB3" w14:paraId="6234669C"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75BB290E"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66</w:t>
            </w:r>
          </w:p>
        </w:tc>
        <w:tc>
          <w:tcPr>
            <w:tcW w:w="7068" w:type="dxa"/>
            <w:vAlign w:val="center"/>
            <w:hideMark/>
          </w:tcPr>
          <w:p w14:paraId="282302F0"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Comisión Nacional de Asuntos Indígenas (CONAI)</w:t>
            </w:r>
          </w:p>
        </w:tc>
      </w:tr>
      <w:tr w:rsidR="007E5C22" w:rsidRPr="00DA1EB3" w14:paraId="75B62830"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0F515C12"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67</w:t>
            </w:r>
          </w:p>
        </w:tc>
        <w:tc>
          <w:tcPr>
            <w:tcW w:w="7068" w:type="dxa"/>
            <w:vAlign w:val="center"/>
            <w:hideMark/>
          </w:tcPr>
          <w:p w14:paraId="3F45D982"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Comisión Nacional de Préstamos para la Educación (CONAPE)</w:t>
            </w:r>
          </w:p>
        </w:tc>
      </w:tr>
      <w:tr w:rsidR="007E5C22" w:rsidRPr="00DA1EB3" w14:paraId="192B60BD" w14:textId="77777777" w:rsidTr="00345DAA">
        <w:trPr>
          <w:trHeight w:val="6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6830C314"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lastRenderedPageBreak/>
              <w:t>68</w:t>
            </w:r>
          </w:p>
        </w:tc>
        <w:tc>
          <w:tcPr>
            <w:tcW w:w="7068" w:type="dxa"/>
            <w:vAlign w:val="center"/>
            <w:hideMark/>
          </w:tcPr>
          <w:p w14:paraId="31B8CA08"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Comisión Nacional de Prevención de Riesgos y Atención de Emergencias (CNE)</w:t>
            </w:r>
          </w:p>
        </w:tc>
      </w:tr>
      <w:tr w:rsidR="007E5C22" w:rsidRPr="00DA1EB3" w14:paraId="153A076B"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302ADF3E"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69</w:t>
            </w:r>
          </w:p>
        </w:tc>
        <w:tc>
          <w:tcPr>
            <w:tcW w:w="7068" w:type="dxa"/>
            <w:vAlign w:val="center"/>
            <w:hideMark/>
          </w:tcPr>
          <w:p w14:paraId="77C32A48"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Comisión Nacional de Vacunación y Epidemiología</w:t>
            </w:r>
          </w:p>
        </w:tc>
      </w:tr>
      <w:tr w:rsidR="007E5C22" w:rsidRPr="00DA1EB3" w14:paraId="2E6515E8"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6E3B3FB4"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70</w:t>
            </w:r>
          </w:p>
        </w:tc>
        <w:tc>
          <w:tcPr>
            <w:tcW w:w="7068" w:type="dxa"/>
            <w:vAlign w:val="center"/>
            <w:hideMark/>
          </w:tcPr>
          <w:p w14:paraId="7207C031"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Comisión Nacional del Consumidor (CNC)</w:t>
            </w:r>
          </w:p>
        </w:tc>
      </w:tr>
      <w:tr w:rsidR="007E5C22" w:rsidRPr="00DA1EB3" w14:paraId="1FA81FFC" w14:textId="77777777" w:rsidTr="00345DA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770633BA"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71</w:t>
            </w:r>
          </w:p>
        </w:tc>
        <w:tc>
          <w:tcPr>
            <w:tcW w:w="7068" w:type="dxa"/>
            <w:vAlign w:val="center"/>
            <w:hideMark/>
          </w:tcPr>
          <w:p w14:paraId="43FB6D97"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Comisión Nacional Interinstitucional para atender a las mujeres en condiciones de pobreza (al IMAS)</w:t>
            </w:r>
          </w:p>
        </w:tc>
      </w:tr>
      <w:tr w:rsidR="007E5C22" w:rsidRPr="00DA1EB3" w14:paraId="74720F54" w14:textId="77777777" w:rsidTr="00345DAA">
        <w:trPr>
          <w:trHeight w:val="6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0FDFD021"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72</w:t>
            </w:r>
          </w:p>
        </w:tc>
        <w:tc>
          <w:tcPr>
            <w:tcW w:w="7068" w:type="dxa"/>
            <w:vAlign w:val="center"/>
            <w:hideMark/>
          </w:tcPr>
          <w:p w14:paraId="184043B4"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Comisión Nacional para la Gestión de la Biodiversidad (CONAGEBIO)</w:t>
            </w:r>
          </w:p>
        </w:tc>
      </w:tr>
      <w:tr w:rsidR="007E5C22" w:rsidRPr="00DA1EB3" w14:paraId="40058DD5"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56C2F988"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73</w:t>
            </w:r>
          </w:p>
        </w:tc>
        <w:tc>
          <w:tcPr>
            <w:tcW w:w="7068" w:type="dxa"/>
            <w:vAlign w:val="center"/>
            <w:hideMark/>
          </w:tcPr>
          <w:p w14:paraId="10EBC587"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Comisión para Promover la Competencia (COPROCOM)</w:t>
            </w:r>
          </w:p>
        </w:tc>
      </w:tr>
      <w:tr w:rsidR="007E5C22" w:rsidRPr="00DA1EB3" w14:paraId="2E7777ED"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301EEA4A"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74</w:t>
            </w:r>
          </w:p>
        </w:tc>
        <w:tc>
          <w:tcPr>
            <w:tcW w:w="7068" w:type="dxa"/>
            <w:vAlign w:val="center"/>
            <w:hideMark/>
          </w:tcPr>
          <w:p w14:paraId="2D0EDE6B"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Comisión Reguladora de Turismo (al ICT)</w:t>
            </w:r>
          </w:p>
        </w:tc>
      </w:tr>
      <w:tr w:rsidR="007E5C22" w:rsidRPr="00DA1EB3" w14:paraId="748CE9BB"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38409CC2"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75</w:t>
            </w:r>
          </w:p>
        </w:tc>
        <w:tc>
          <w:tcPr>
            <w:tcW w:w="7068" w:type="dxa"/>
            <w:vAlign w:val="center"/>
            <w:hideMark/>
          </w:tcPr>
          <w:p w14:paraId="21CA9A44"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Compañía Nacional de Fuerza y Luz S. A. (CNFL)</w:t>
            </w:r>
          </w:p>
        </w:tc>
      </w:tr>
      <w:tr w:rsidR="007E5C22" w:rsidRPr="00DA1EB3" w14:paraId="30FBFF4B"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5CEFB2A1"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76</w:t>
            </w:r>
          </w:p>
        </w:tc>
        <w:tc>
          <w:tcPr>
            <w:tcW w:w="7068" w:type="dxa"/>
            <w:vAlign w:val="center"/>
            <w:hideMark/>
          </w:tcPr>
          <w:p w14:paraId="72A4A287"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Concejo Municipal de Distrito de Cervantes</w:t>
            </w:r>
          </w:p>
        </w:tc>
      </w:tr>
      <w:tr w:rsidR="007E5C22" w:rsidRPr="00DA1EB3" w14:paraId="48D4E633"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4E7DA99A"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77</w:t>
            </w:r>
          </w:p>
        </w:tc>
        <w:tc>
          <w:tcPr>
            <w:tcW w:w="7068" w:type="dxa"/>
            <w:vAlign w:val="center"/>
            <w:hideMark/>
          </w:tcPr>
          <w:p w14:paraId="45E04C1E"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Concejo Municipal de Distrito de Cóbano</w:t>
            </w:r>
          </w:p>
        </w:tc>
      </w:tr>
      <w:tr w:rsidR="007E5C22" w:rsidRPr="00DA1EB3" w14:paraId="357BE3F5"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2A90216C"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78</w:t>
            </w:r>
          </w:p>
        </w:tc>
        <w:tc>
          <w:tcPr>
            <w:tcW w:w="7068" w:type="dxa"/>
            <w:vAlign w:val="center"/>
            <w:hideMark/>
          </w:tcPr>
          <w:p w14:paraId="765EFF7A"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Concejo Municipal de Distrito de Colorado</w:t>
            </w:r>
          </w:p>
        </w:tc>
      </w:tr>
      <w:tr w:rsidR="007E5C22" w:rsidRPr="00DA1EB3" w14:paraId="287CB4AC"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6CE4F290"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79</w:t>
            </w:r>
          </w:p>
        </w:tc>
        <w:tc>
          <w:tcPr>
            <w:tcW w:w="7068" w:type="dxa"/>
            <w:vAlign w:val="center"/>
            <w:hideMark/>
          </w:tcPr>
          <w:p w14:paraId="263A5FDF"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Concejo Municipal de Distrito de Lepanto</w:t>
            </w:r>
          </w:p>
        </w:tc>
      </w:tr>
      <w:tr w:rsidR="007E5C22" w:rsidRPr="00DA1EB3" w14:paraId="411D3EF3"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532BE8F9"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80</w:t>
            </w:r>
          </w:p>
        </w:tc>
        <w:tc>
          <w:tcPr>
            <w:tcW w:w="7068" w:type="dxa"/>
            <w:vAlign w:val="center"/>
            <w:hideMark/>
          </w:tcPr>
          <w:p w14:paraId="56958507"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Concejo Municipal de Distrito de Monteverde</w:t>
            </w:r>
          </w:p>
        </w:tc>
      </w:tr>
      <w:tr w:rsidR="007E5C22" w:rsidRPr="00DA1EB3" w14:paraId="79E584FE"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1A04CF37"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81</w:t>
            </w:r>
          </w:p>
        </w:tc>
        <w:tc>
          <w:tcPr>
            <w:tcW w:w="7068" w:type="dxa"/>
            <w:vAlign w:val="center"/>
            <w:hideMark/>
          </w:tcPr>
          <w:p w14:paraId="458E29C7"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Concejo Municipal de Distrito de Paquera</w:t>
            </w:r>
          </w:p>
        </w:tc>
      </w:tr>
      <w:tr w:rsidR="007E5C22" w:rsidRPr="00DA1EB3" w14:paraId="31C6E07E"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752BEBF9"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82</w:t>
            </w:r>
          </w:p>
        </w:tc>
        <w:tc>
          <w:tcPr>
            <w:tcW w:w="7068" w:type="dxa"/>
            <w:vAlign w:val="center"/>
            <w:hideMark/>
          </w:tcPr>
          <w:p w14:paraId="31089848"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Concejo Municipal de Distrito de Peñas Blancas</w:t>
            </w:r>
          </w:p>
        </w:tc>
      </w:tr>
      <w:tr w:rsidR="007E5C22" w:rsidRPr="00DA1EB3" w14:paraId="37FE8BBF"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359F0F8D"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83</w:t>
            </w:r>
          </w:p>
        </w:tc>
        <w:tc>
          <w:tcPr>
            <w:tcW w:w="7068" w:type="dxa"/>
            <w:vAlign w:val="center"/>
            <w:hideMark/>
          </w:tcPr>
          <w:p w14:paraId="32245C88"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Concejo Municipal de Distrito de Tucurrique</w:t>
            </w:r>
          </w:p>
        </w:tc>
      </w:tr>
      <w:tr w:rsidR="007E5C22" w:rsidRPr="00DA1EB3" w14:paraId="7355BD6A"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3B43FD06"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84</w:t>
            </w:r>
          </w:p>
        </w:tc>
        <w:tc>
          <w:tcPr>
            <w:tcW w:w="7068" w:type="dxa"/>
            <w:vAlign w:val="center"/>
            <w:hideMark/>
          </w:tcPr>
          <w:p w14:paraId="3A4E9277"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Consejo de Seguridad Vial (COSEVI)</w:t>
            </w:r>
          </w:p>
        </w:tc>
      </w:tr>
      <w:tr w:rsidR="007E5C22" w:rsidRPr="00DA1EB3" w14:paraId="309014B7"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3B5071B6"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85</w:t>
            </w:r>
          </w:p>
        </w:tc>
        <w:tc>
          <w:tcPr>
            <w:tcW w:w="7068" w:type="dxa"/>
            <w:vAlign w:val="center"/>
            <w:hideMark/>
          </w:tcPr>
          <w:p w14:paraId="182723AB"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Consejo de Transporte Público (CTP)</w:t>
            </w:r>
          </w:p>
        </w:tc>
      </w:tr>
      <w:tr w:rsidR="007E5C22" w:rsidRPr="00DA1EB3" w14:paraId="769E43F5" w14:textId="77777777" w:rsidTr="00345DAA">
        <w:trPr>
          <w:trHeight w:val="6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22776FCC"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86</w:t>
            </w:r>
          </w:p>
        </w:tc>
        <w:tc>
          <w:tcPr>
            <w:tcW w:w="7068" w:type="dxa"/>
            <w:vAlign w:val="center"/>
            <w:hideMark/>
          </w:tcPr>
          <w:p w14:paraId="5B08AB3E"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Consejo Interinstitucional de Atención a la Madre Adolescente</w:t>
            </w:r>
          </w:p>
        </w:tc>
      </w:tr>
      <w:tr w:rsidR="007E5C22" w:rsidRPr="00DA1EB3" w14:paraId="47F475C8"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30A2176C"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87</w:t>
            </w:r>
          </w:p>
        </w:tc>
        <w:tc>
          <w:tcPr>
            <w:tcW w:w="7068" w:type="dxa"/>
            <w:vAlign w:val="center"/>
            <w:hideMark/>
          </w:tcPr>
          <w:p w14:paraId="5569692B"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Consejo Nacional de Clubes 4-S (CONAC)</w:t>
            </w:r>
          </w:p>
        </w:tc>
      </w:tr>
      <w:tr w:rsidR="007E5C22" w:rsidRPr="00DA1EB3" w14:paraId="593BDC4D"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0857475C"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88</w:t>
            </w:r>
          </w:p>
        </w:tc>
        <w:tc>
          <w:tcPr>
            <w:tcW w:w="7068" w:type="dxa"/>
            <w:vAlign w:val="center"/>
            <w:hideMark/>
          </w:tcPr>
          <w:p w14:paraId="175955C3"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Consejo Nacional de Concesiones (CNC)</w:t>
            </w:r>
          </w:p>
        </w:tc>
      </w:tr>
      <w:tr w:rsidR="007E5C22" w:rsidRPr="00DA1EB3" w14:paraId="66212EBC"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687F543B"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89</w:t>
            </w:r>
          </w:p>
        </w:tc>
        <w:tc>
          <w:tcPr>
            <w:tcW w:w="7068" w:type="dxa"/>
            <w:vAlign w:val="center"/>
            <w:hideMark/>
          </w:tcPr>
          <w:p w14:paraId="77CF489A"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Consejo Nacional de Cooperativas (CONACOOP)</w:t>
            </w:r>
          </w:p>
        </w:tc>
      </w:tr>
      <w:tr w:rsidR="007E5C22" w:rsidRPr="00DA1EB3" w14:paraId="58C7040C" w14:textId="77777777" w:rsidTr="00345DAA">
        <w:trPr>
          <w:trHeight w:val="6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220AC6A1"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90</w:t>
            </w:r>
          </w:p>
        </w:tc>
        <w:tc>
          <w:tcPr>
            <w:tcW w:w="7068" w:type="dxa"/>
            <w:vAlign w:val="center"/>
            <w:hideMark/>
          </w:tcPr>
          <w:p w14:paraId="1272CA49"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Consejo Nacional de Enseñanza Superior Universitaria Privada (CONESUP)</w:t>
            </w:r>
          </w:p>
        </w:tc>
      </w:tr>
      <w:tr w:rsidR="007E5C22" w:rsidRPr="00DA1EB3" w14:paraId="1E2C6C50"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65F31CAB"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91</w:t>
            </w:r>
          </w:p>
        </w:tc>
        <w:tc>
          <w:tcPr>
            <w:tcW w:w="7068" w:type="dxa"/>
            <w:vAlign w:val="center"/>
            <w:hideMark/>
          </w:tcPr>
          <w:p w14:paraId="3A9FC3EF"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Consejo Nacional de Investigación en Salud (CONIS)</w:t>
            </w:r>
          </w:p>
        </w:tc>
      </w:tr>
      <w:tr w:rsidR="007E5C22" w:rsidRPr="00DA1EB3" w14:paraId="5D814A21" w14:textId="77777777" w:rsidTr="00345DAA">
        <w:trPr>
          <w:trHeight w:val="6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2943ED4A"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92</w:t>
            </w:r>
          </w:p>
        </w:tc>
        <w:tc>
          <w:tcPr>
            <w:tcW w:w="7068" w:type="dxa"/>
            <w:vAlign w:val="center"/>
            <w:hideMark/>
          </w:tcPr>
          <w:p w14:paraId="2DF2FA83"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Consejo Nacional de Investigaciones Científicas y Tecnológicas (CONICIT)</w:t>
            </w:r>
          </w:p>
        </w:tc>
      </w:tr>
      <w:tr w:rsidR="007E5C22" w:rsidRPr="00DA1EB3" w14:paraId="16BDE5D4"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4405CC53"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93</w:t>
            </w:r>
          </w:p>
        </w:tc>
        <w:tc>
          <w:tcPr>
            <w:tcW w:w="7068" w:type="dxa"/>
            <w:vAlign w:val="center"/>
            <w:hideMark/>
          </w:tcPr>
          <w:p w14:paraId="2D7C5B0E"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Consejo Nacional de la Persona Adulta Mayor (CONAPAM)</w:t>
            </w:r>
          </w:p>
        </w:tc>
      </w:tr>
      <w:tr w:rsidR="007E5C22" w:rsidRPr="00DA1EB3" w14:paraId="16F1F132"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0E26C345"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94</w:t>
            </w:r>
          </w:p>
        </w:tc>
        <w:tc>
          <w:tcPr>
            <w:tcW w:w="7068" w:type="dxa"/>
            <w:vAlign w:val="center"/>
            <w:hideMark/>
          </w:tcPr>
          <w:p w14:paraId="001DEBF6"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Consejo Nacional de Personas con Discapacidad (CONAPDIS)</w:t>
            </w:r>
          </w:p>
        </w:tc>
      </w:tr>
      <w:tr w:rsidR="007E5C22" w:rsidRPr="00DA1EB3" w14:paraId="58D47DB0"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5ABEC0D0"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95</w:t>
            </w:r>
          </w:p>
        </w:tc>
        <w:tc>
          <w:tcPr>
            <w:tcW w:w="7068" w:type="dxa"/>
            <w:vAlign w:val="center"/>
            <w:hideMark/>
          </w:tcPr>
          <w:p w14:paraId="62F7D5DD"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Consejo Nacional de Política Pública de la Persona Joven</w:t>
            </w:r>
          </w:p>
        </w:tc>
      </w:tr>
      <w:tr w:rsidR="007E5C22" w:rsidRPr="00DA1EB3" w14:paraId="36CCDC40"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6AE6B32F"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96</w:t>
            </w:r>
          </w:p>
        </w:tc>
        <w:tc>
          <w:tcPr>
            <w:tcW w:w="7068" w:type="dxa"/>
            <w:vAlign w:val="center"/>
            <w:hideMark/>
          </w:tcPr>
          <w:p w14:paraId="2F7501A5"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Consejo Nacional de Producción (CNP)</w:t>
            </w:r>
          </w:p>
        </w:tc>
      </w:tr>
      <w:tr w:rsidR="007E5C22" w:rsidRPr="00DA1EB3" w14:paraId="51745806"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6C2A5DC3"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97</w:t>
            </w:r>
          </w:p>
        </w:tc>
        <w:tc>
          <w:tcPr>
            <w:tcW w:w="7068" w:type="dxa"/>
            <w:vAlign w:val="center"/>
            <w:hideMark/>
          </w:tcPr>
          <w:p w14:paraId="305BEBDD"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Consejo Nacional de Salarios</w:t>
            </w:r>
          </w:p>
        </w:tc>
      </w:tr>
      <w:tr w:rsidR="007E5C22" w:rsidRPr="00DA1EB3" w14:paraId="4877B1BC" w14:textId="77777777" w:rsidTr="00345DAA">
        <w:trPr>
          <w:trHeight w:val="6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7761B6BE"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98</w:t>
            </w:r>
          </w:p>
        </w:tc>
        <w:tc>
          <w:tcPr>
            <w:tcW w:w="7068" w:type="dxa"/>
            <w:vAlign w:val="center"/>
            <w:hideMark/>
          </w:tcPr>
          <w:p w14:paraId="7AAC8BAF"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Consejo Nacional de Supervisión del Sistema Financiero (CONASSIF) (BCCR)</w:t>
            </w:r>
          </w:p>
        </w:tc>
      </w:tr>
      <w:tr w:rsidR="007E5C22" w:rsidRPr="00DA1EB3" w14:paraId="21254652"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32EA4833"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99</w:t>
            </w:r>
          </w:p>
        </w:tc>
        <w:tc>
          <w:tcPr>
            <w:tcW w:w="7068" w:type="dxa"/>
            <w:vAlign w:val="center"/>
            <w:hideMark/>
          </w:tcPr>
          <w:p w14:paraId="60E08A44"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Consejo Nacional de Vialidad (CONAVI)</w:t>
            </w:r>
          </w:p>
        </w:tc>
      </w:tr>
      <w:tr w:rsidR="007E5C22" w:rsidRPr="00DA1EB3" w14:paraId="2FD07811"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2E0775AE"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100</w:t>
            </w:r>
          </w:p>
        </w:tc>
        <w:tc>
          <w:tcPr>
            <w:tcW w:w="7068" w:type="dxa"/>
            <w:vAlign w:val="center"/>
            <w:hideMark/>
          </w:tcPr>
          <w:p w14:paraId="6F3A6F65"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Consejo Técnico de Asistencia Médico Social</w:t>
            </w:r>
          </w:p>
        </w:tc>
      </w:tr>
      <w:tr w:rsidR="007E5C22" w:rsidRPr="00DA1EB3" w14:paraId="68BE871A"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6B9B001C"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101</w:t>
            </w:r>
          </w:p>
        </w:tc>
        <w:tc>
          <w:tcPr>
            <w:tcW w:w="7068" w:type="dxa"/>
            <w:vAlign w:val="center"/>
            <w:hideMark/>
          </w:tcPr>
          <w:p w14:paraId="34602D81"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Consejo Técnico de Aviación Civil (CETAC)</w:t>
            </w:r>
          </w:p>
        </w:tc>
      </w:tr>
      <w:tr w:rsidR="007E5C22" w:rsidRPr="00DA1EB3" w14:paraId="6AE40091"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7051D718"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102</w:t>
            </w:r>
          </w:p>
        </w:tc>
        <w:tc>
          <w:tcPr>
            <w:tcW w:w="7068" w:type="dxa"/>
            <w:vAlign w:val="center"/>
            <w:hideMark/>
          </w:tcPr>
          <w:p w14:paraId="0EB5AE14"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Contraloría General de la República</w:t>
            </w:r>
          </w:p>
        </w:tc>
      </w:tr>
      <w:tr w:rsidR="007E5C22" w:rsidRPr="00DA1EB3" w14:paraId="4FDAD7CA"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47F6A992"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103</w:t>
            </w:r>
          </w:p>
        </w:tc>
        <w:tc>
          <w:tcPr>
            <w:tcW w:w="7068" w:type="dxa"/>
            <w:vAlign w:val="center"/>
            <w:hideMark/>
          </w:tcPr>
          <w:p w14:paraId="5CD41948"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Corporación Arrocera Nacional (CONARROZ)</w:t>
            </w:r>
          </w:p>
        </w:tc>
      </w:tr>
      <w:tr w:rsidR="007E5C22" w:rsidRPr="00DA1EB3" w14:paraId="7FABD3EA"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19954B29"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104</w:t>
            </w:r>
          </w:p>
        </w:tc>
        <w:tc>
          <w:tcPr>
            <w:tcW w:w="7068" w:type="dxa"/>
            <w:vAlign w:val="center"/>
            <w:hideMark/>
          </w:tcPr>
          <w:p w14:paraId="0F711128" w14:textId="558B1A7D"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Corporación Bananera Nacional S.A. (CORBANA)</w:t>
            </w:r>
          </w:p>
        </w:tc>
      </w:tr>
      <w:tr w:rsidR="007E5C22" w:rsidRPr="00DA1EB3" w14:paraId="194F8873"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7DEDB489"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105</w:t>
            </w:r>
          </w:p>
        </w:tc>
        <w:tc>
          <w:tcPr>
            <w:tcW w:w="7068" w:type="dxa"/>
            <w:vAlign w:val="center"/>
            <w:hideMark/>
          </w:tcPr>
          <w:p w14:paraId="2333E7C7"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Corporación Ganadera Nacional (CORFOGA)</w:t>
            </w:r>
          </w:p>
        </w:tc>
      </w:tr>
      <w:tr w:rsidR="007E5C22" w:rsidRPr="00DA1EB3" w14:paraId="25665786"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1B325E60"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lastRenderedPageBreak/>
              <w:t>106</w:t>
            </w:r>
          </w:p>
        </w:tc>
        <w:tc>
          <w:tcPr>
            <w:tcW w:w="7068" w:type="dxa"/>
            <w:vAlign w:val="center"/>
            <w:hideMark/>
          </w:tcPr>
          <w:p w14:paraId="765B3DFF"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Corporación Hortícola Nacional</w:t>
            </w:r>
          </w:p>
        </w:tc>
      </w:tr>
      <w:tr w:rsidR="007E5C22" w:rsidRPr="00DA1EB3" w14:paraId="302B4C4B"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62387B21"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107</w:t>
            </w:r>
          </w:p>
        </w:tc>
        <w:tc>
          <w:tcPr>
            <w:tcW w:w="7068" w:type="dxa"/>
            <w:vAlign w:val="center"/>
            <w:hideMark/>
          </w:tcPr>
          <w:p w14:paraId="2BD89DD2" w14:textId="525B9B63"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Correos de Costa Rica S.A.</w:t>
            </w:r>
          </w:p>
        </w:tc>
      </w:tr>
      <w:tr w:rsidR="007E5C22" w:rsidRPr="00DA1EB3" w14:paraId="4164C319"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081AAC45"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108</w:t>
            </w:r>
          </w:p>
        </w:tc>
        <w:tc>
          <w:tcPr>
            <w:tcW w:w="7068" w:type="dxa"/>
            <w:vAlign w:val="center"/>
            <w:hideMark/>
          </w:tcPr>
          <w:p w14:paraId="024F9070" w14:textId="7DC38F41"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Costarricense de Seguro Social S.A.</w:t>
            </w:r>
          </w:p>
        </w:tc>
      </w:tr>
      <w:tr w:rsidR="007E5C22" w:rsidRPr="00DA1EB3" w14:paraId="0FA49830"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519D6894"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109</w:t>
            </w:r>
          </w:p>
        </w:tc>
        <w:tc>
          <w:tcPr>
            <w:tcW w:w="7068" w:type="dxa"/>
            <w:vAlign w:val="center"/>
            <w:hideMark/>
          </w:tcPr>
          <w:p w14:paraId="1EC1E616" w14:textId="3A06774A"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Defensoría de los Habitantes de la República</w:t>
            </w:r>
          </w:p>
        </w:tc>
      </w:tr>
      <w:tr w:rsidR="007E5C22" w:rsidRPr="00DA1EB3" w14:paraId="44728BF1"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386F13C6"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110</w:t>
            </w:r>
          </w:p>
        </w:tc>
        <w:tc>
          <w:tcPr>
            <w:tcW w:w="7068" w:type="dxa"/>
            <w:vAlign w:val="center"/>
            <w:hideMark/>
          </w:tcPr>
          <w:p w14:paraId="18565E76"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Dirección General de Migración y Extranjería (DGME)</w:t>
            </w:r>
          </w:p>
        </w:tc>
      </w:tr>
      <w:tr w:rsidR="007E5C22" w:rsidRPr="00DA1EB3" w14:paraId="45C5AF20"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796F636E"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111</w:t>
            </w:r>
          </w:p>
        </w:tc>
        <w:tc>
          <w:tcPr>
            <w:tcW w:w="7068" w:type="dxa"/>
            <w:vAlign w:val="center"/>
            <w:hideMark/>
          </w:tcPr>
          <w:p w14:paraId="41466CB8"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Dirección General de Servicio Civil (DGSC)</w:t>
            </w:r>
          </w:p>
        </w:tc>
      </w:tr>
      <w:tr w:rsidR="007E5C22" w:rsidRPr="00DA1EB3" w14:paraId="76B23074"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4BDC4820"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112</w:t>
            </w:r>
          </w:p>
        </w:tc>
        <w:tc>
          <w:tcPr>
            <w:tcW w:w="7068" w:type="dxa"/>
            <w:vAlign w:val="center"/>
            <w:hideMark/>
          </w:tcPr>
          <w:p w14:paraId="5CC7C3DF"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Dirección General del Archivo Nacional</w:t>
            </w:r>
          </w:p>
        </w:tc>
      </w:tr>
      <w:tr w:rsidR="007E5C22" w:rsidRPr="00DA1EB3" w14:paraId="05151E7E" w14:textId="77777777" w:rsidTr="00345DA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2CF9C84E"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113</w:t>
            </w:r>
          </w:p>
        </w:tc>
        <w:tc>
          <w:tcPr>
            <w:tcW w:w="7068" w:type="dxa"/>
            <w:vAlign w:val="center"/>
            <w:hideMark/>
          </w:tcPr>
          <w:p w14:paraId="05861D0D"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Dirección Nacional de Centros de Educación y Nutrición y de Centros Infantiles de Atención Integral (CEN-CINAI)</w:t>
            </w:r>
          </w:p>
        </w:tc>
      </w:tr>
      <w:tr w:rsidR="007E5C22" w:rsidRPr="00DA1EB3" w14:paraId="68062261" w14:textId="77777777" w:rsidTr="00345DAA">
        <w:trPr>
          <w:trHeight w:val="6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163F860B"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114</w:t>
            </w:r>
          </w:p>
        </w:tc>
        <w:tc>
          <w:tcPr>
            <w:tcW w:w="7068" w:type="dxa"/>
            <w:vAlign w:val="center"/>
            <w:hideMark/>
          </w:tcPr>
          <w:p w14:paraId="1E06054D"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Dirección Nacional de Desarrollo de la Comunidad (DINADECO)</w:t>
            </w:r>
          </w:p>
        </w:tc>
      </w:tr>
      <w:tr w:rsidR="007E5C22" w:rsidRPr="00DA1EB3" w14:paraId="53A9B1C8"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4E61C10C"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115</w:t>
            </w:r>
          </w:p>
        </w:tc>
        <w:tc>
          <w:tcPr>
            <w:tcW w:w="7068" w:type="dxa"/>
            <w:vAlign w:val="center"/>
            <w:hideMark/>
          </w:tcPr>
          <w:p w14:paraId="1737D316"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Dirección Nacional de Notariado (DNN)</w:t>
            </w:r>
          </w:p>
        </w:tc>
      </w:tr>
      <w:tr w:rsidR="007E5C22" w:rsidRPr="00DA1EB3" w14:paraId="49768A90"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301627BD"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116</w:t>
            </w:r>
          </w:p>
        </w:tc>
        <w:tc>
          <w:tcPr>
            <w:tcW w:w="7068" w:type="dxa"/>
            <w:vAlign w:val="center"/>
            <w:hideMark/>
          </w:tcPr>
          <w:p w14:paraId="5CFF4E95"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Editorial Costa Rica (ECR)</w:t>
            </w:r>
          </w:p>
        </w:tc>
      </w:tr>
      <w:tr w:rsidR="007E5C22" w:rsidRPr="00DA1EB3" w14:paraId="643B2149"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63AE8762"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117</w:t>
            </w:r>
          </w:p>
        </w:tc>
        <w:tc>
          <w:tcPr>
            <w:tcW w:w="7068" w:type="dxa"/>
            <w:vAlign w:val="center"/>
            <w:hideMark/>
          </w:tcPr>
          <w:p w14:paraId="398CA8F9"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Empresa de Servicios Públicos de Heredia S.A (ESPH)</w:t>
            </w:r>
          </w:p>
        </w:tc>
      </w:tr>
      <w:tr w:rsidR="007E5C22" w:rsidRPr="00DA1EB3" w14:paraId="2299790F"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4B78DCA3"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118</w:t>
            </w:r>
          </w:p>
        </w:tc>
        <w:tc>
          <w:tcPr>
            <w:tcW w:w="7068" w:type="dxa"/>
            <w:vAlign w:val="center"/>
            <w:hideMark/>
          </w:tcPr>
          <w:p w14:paraId="76B5415D"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Ente Costarricense de Acreditación (ECA)</w:t>
            </w:r>
          </w:p>
        </w:tc>
      </w:tr>
      <w:tr w:rsidR="007E5C22" w:rsidRPr="00DA1EB3" w14:paraId="0AD4B880" w14:textId="77777777" w:rsidTr="00345DA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74C5FA0E"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119</w:t>
            </w:r>
          </w:p>
        </w:tc>
        <w:tc>
          <w:tcPr>
            <w:tcW w:w="7068" w:type="dxa"/>
            <w:vAlign w:val="center"/>
            <w:hideMark/>
          </w:tcPr>
          <w:p w14:paraId="6A16E178"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Fondo de Apoyo para la Educación Superior y Técnica del Puntarenense</w:t>
            </w:r>
          </w:p>
        </w:tc>
      </w:tr>
      <w:tr w:rsidR="007E5C22" w:rsidRPr="00DA1EB3" w14:paraId="0FA6F6C7" w14:textId="77777777" w:rsidTr="00345DAA">
        <w:trPr>
          <w:trHeight w:val="6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1DB6BC4D"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120</w:t>
            </w:r>
          </w:p>
        </w:tc>
        <w:tc>
          <w:tcPr>
            <w:tcW w:w="7068" w:type="dxa"/>
            <w:vAlign w:val="center"/>
            <w:hideMark/>
          </w:tcPr>
          <w:p w14:paraId="0662997D"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Fondo de Desarrollo de la Provincia de Limón (FODELI) (a JAPDEVA)</w:t>
            </w:r>
          </w:p>
        </w:tc>
      </w:tr>
      <w:tr w:rsidR="007E5C22" w:rsidRPr="00DA1EB3" w14:paraId="3667D38D"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1355E3C6"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121</w:t>
            </w:r>
          </w:p>
        </w:tc>
        <w:tc>
          <w:tcPr>
            <w:tcW w:w="7068" w:type="dxa"/>
            <w:vAlign w:val="center"/>
            <w:hideMark/>
          </w:tcPr>
          <w:p w14:paraId="610FCE3D"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Fondo Nacional de Becas (FONABE)</w:t>
            </w:r>
          </w:p>
        </w:tc>
      </w:tr>
      <w:tr w:rsidR="007E5C22" w:rsidRPr="00DA1EB3" w14:paraId="2C0A7E63"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482B9673"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122</w:t>
            </w:r>
          </w:p>
        </w:tc>
        <w:tc>
          <w:tcPr>
            <w:tcW w:w="7068" w:type="dxa"/>
            <w:vAlign w:val="center"/>
            <w:hideMark/>
          </w:tcPr>
          <w:p w14:paraId="4B378588"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Fondo Nacional de Becas de Solidaridad Social</w:t>
            </w:r>
          </w:p>
        </w:tc>
      </w:tr>
      <w:tr w:rsidR="007E5C22" w:rsidRPr="00DA1EB3" w14:paraId="19BA3B52"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299F567C"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123</w:t>
            </w:r>
          </w:p>
        </w:tc>
        <w:tc>
          <w:tcPr>
            <w:tcW w:w="7068" w:type="dxa"/>
            <w:vAlign w:val="center"/>
            <w:hideMark/>
          </w:tcPr>
          <w:p w14:paraId="60C5A790"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Fondo Nacional de Estabilización Cafetalera (FONECAFE)</w:t>
            </w:r>
          </w:p>
        </w:tc>
      </w:tr>
      <w:tr w:rsidR="007E5C22" w:rsidRPr="00DA1EB3" w14:paraId="298A0DD3"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188283DF"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124</w:t>
            </w:r>
          </w:p>
        </w:tc>
        <w:tc>
          <w:tcPr>
            <w:tcW w:w="7068" w:type="dxa"/>
            <w:vAlign w:val="center"/>
            <w:hideMark/>
          </w:tcPr>
          <w:p w14:paraId="6209B5A3"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Fondo Nacional de Financiamiento Forestal (FONAFIFO)</w:t>
            </w:r>
          </w:p>
        </w:tc>
      </w:tr>
      <w:tr w:rsidR="007E5C22" w:rsidRPr="00DA1EB3" w14:paraId="45A8737D"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304128CD"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125</w:t>
            </w:r>
          </w:p>
        </w:tc>
        <w:tc>
          <w:tcPr>
            <w:tcW w:w="7068" w:type="dxa"/>
            <w:vAlign w:val="center"/>
            <w:hideMark/>
          </w:tcPr>
          <w:p w14:paraId="4EC70F72"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Fondo Nacional de Sostenibilidad Cafetalera (FONASCAFE)</w:t>
            </w:r>
          </w:p>
        </w:tc>
      </w:tr>
      <w:tr w:rsidR="007E5C22" w:rsidRPr="00DA1EB3" w14:paraId="3D5CFD82"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6A634B8A"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126</w:t>
            </w:r>
          </w:p>
        </w:tc>
        <w:tc>
          <w:tcPr>
            <w:tcW w:w="7068" w:type="dxa"/>
            <w:vAlign w:val="center"/>
            <w:hideMark/>
          </w:tcPr>
          <w:p w14:paraId="7E55D1C2" w14:textId="0784692D"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INS Servicios S.A.</w:t>
            </w:r>
          </w:p>
        </w:tc>
      </w:tr>
      <w:tr w:rsidR="007E5C22" w:rsidRPr="00DA1EB3" w14:paraId="120FE7E7" w14:textId="77777777" w:rsidTr="00345DA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33762BC9"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127</w:t>
            </w:r>
          </w:p>
        </w:tc>
        <w:tc>
          <w:tcPr>
            <w:tcW w:w="7068" w:type="dxa"/>
            <w:vAlign w:val="center"/>
            <w:hideMark/>
          </w:tcPr>
          <w:p w14:paraId="577A8367"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INS Sociedad Administradora de Fondos de Inversión S.A. (INS-SAFI)</w:t>
            </w:r>
          </w:p>
        </w:tc>
      </w:tr>
      <w:tr w:rsidR="007E5C22" w:rsidRPr="00DA1EB3" w14:paraId="567E2192"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07404876"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128</w:t>
            </w:r>
          </w:p>
        </w:tc>
        <w:tc>
          <w:tcPr>
            <w:tcW w:w="7068" w:type="dxa"/>
            <w:vAlign w:val="center"/>
            <w:hideMark/>
          </w:tcPr>
          <w:p w14:paraId="48288B8B"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INS Valores Puesto de Bolsa S.A.</w:t>
            </w:r>
          </w:p>
        </w:tc>
      </w:tr>
      <w:tr w:rsidR="007E5C22" w:rsidRPr="00DA1EB3" w14:paraId="7A241E71"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3FDAC238"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129</w:t>
            </w:r>
          </w:p>
        </w:tc>
        <w:tc>
          <w:tcPr>
            <w:tcW w:w="7068" w:type="dxa"/>
            <w:vAlign w:val="center"/>
            <w:hideMark/>
          </w:tcPr>
          <w:p w14:paraId="4659B290"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INS-Red de Servicios de Salud</w:t>
            </w:r>
          </w:p>
        </w:tc>
      </w:tr>
      <w:tr w:rsidR="007E5C22" w:rsidRPr="00DA1EB3" w14:paraId="3CF53D23"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56B0D6FA"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130</w:t>
            </w:r>
          </w:p>
        </w:tc>
        <w:tc>
          <w:tcPr>
            <w:tcW w:w="7068" w:type="dxa"/>
            <w:vAlign w:val="center"/>
            <w:hideMark/>
          </w:tcPr>
          <w:p w14:paraId="59340D76"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Instituto Centroamericano de Extensión de la Cultura (ICECU)</w:t>
            </w:r>
          </w:p>
        </w:tc>
      </w:tr>
      <w:tr w:rsidR="007E5C22" w:rsidRPr="00DA1EB3" w14:paraId="7D4CCFC3"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27373651"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131</w:t>
            </w:r>
          </w:p>
        </w:tc>
        <w:tc>
          <w:tcPr>
            <w:tcW w:w="7068" w:type="dxa"/>
            <w:vAlign w:val="center"/>
            <w:hideMark/>
          </w:tcPr>
          <w:p w14:paraId="0C2B89A9"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Instituto Costarricense de Acueductos y Alcantarillados (AyA)</w:t>
            </w:r>
          </w:p>
        </w:tc>
      </w:tr>
      <w:tr w:rsidR="007E5C22" w:rsidRPr="00DA1EB3" w14:paraId="7046793D"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06CB74F6"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132</w:t>
            </w:r>
          </w:p>
        </w:tc>
        <w:tc>
          <w:tcPr>
            <w:tcW w:w="7068" w:type="dxa"/>
            <w:vAlign w:val="center"/>
            <w:hideMark/>
          </w:tcPr>
          <w:p w14:paraId="4652C46E"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Instituto Costarricense de Deporte y la Recreación (ICODER)</w:t>
            </w:r>
          </w:p>
        </w:tc>
      </w:tr>
      <w:tr w:rsidR="007E5C22" w:rsidRPr="00DA1EB3" w14:paraId="7A4EB7A9"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5AA60BB9"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133</w:t>
            </w:r>
          </w:p>
        </w:tc>
        <w:tc>
          <w:tcPr>
            <w:tcW w:w="7068" w:type="dxa"/>
            <w:vAlign w:val="center"/>
            <w:hideMark/>
          </w:tcPr>
          <w:p w14:paraId="2F1CAE12"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Instituto Costarricense de Electricidad (ICE)</w:t>
            </w:r>
          </w:p>
        </w:tc>
      </w:tr>
      <w:tr w:rsidR="007E5C22" w:rsidRPr="00DA1EB3" w14:paraId="2BE7E25F"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38E8C768"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134</w:t>
            </w:r>
          </w:p>
        </w:tc>
        <w:tc>
          <w:tcPr>
            <w:tcW w:w="7068" w:type="dxa"/>
            <w:vAlign w:val="center"/>
            <w:hideMark/>
          </w:tcPr>
          <w:p w14:paraId="5536A1BE"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Instituto Costarricense de Ferrocarriles (INCOFER)</w:t>
            </w:r>
          </w:p>
        </w:tc>
      </w:tr>
      <w:tr w:rsidR="007E5C22" w:rsidRPr="00DA1EB3" w14:paraId="29E15500" w14:textId="77777777" w:rsidTr="00345DA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79E42303"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135</w:t>
            </w:r>
          </w:p>
        </w:tc>
        <w:tc>
          <w:tcPr>
            <w:tcW w:w="7068" w:type="dxa"/>
            <w:vAlign w:val="center"/>
            <w:hideMark/>
          </w:tcPr>
          <w:p w14:paraId="40201563"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Instituto Costarricense de Investigación y Enseñanza en Nutrición y Salud (INCIENSA)</w:t>
            </w:r>
          </w:p>
        </w:tc>
      </w:tr>
      <w:tr w:rsidR="007E5C22" w:rsidRPr="00DA1EB3" w14:paraId="29304AFB"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4486B944"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136</w:t>
            </w:r>
          </w:p>
        </w:tc>
        <w:tc>
          <w:tcPr>
            <w:tcW w:w="7068" w:type="dxa"/>
            <w:vAlign w:val="center"/>
            <w:hideMark/>
          </w:tcPr>
          <w:p w14:paraId="7F7E3E7D" w14:textId="251B19AB"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Instituto Costarricense de Pesca y Acuicultura (INCOPESCA)</w:t>
            </w:r>
          </w:p>
        </w:tc>
      </w:tr>
      <w:tr w:rsidR="007E5C22" w:rsidRPr="00DA1EB3" w14:paraId="640B5503"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3CB9458B"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137</w:t>
            </w:r>
          </w:p>
        </w:tc>
        <w:tc>
          <w:tcPr>
            <w:tcW w:w="7068" w:type="dxa"/>
            <w:vAlign w:val="center"/>
            <w:hideMark/>
          </w:tcPr>
          <w:p w14:paraId="2AADAE7A"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Instituto Costarricense de Puertos del Pacífico (INCOP)</w:t>
            </w:r>
          </w:p>
        </w:tc>
      </w:tr>
      <w:tr w:rsidR="007E5C22" w:rsidRPr="00DA1EB3" w14:paraId="328BD3E3"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21C93400"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138</w:t>
            </w:r>
          </w:p>
        </w:tc>
        <w:tc>
          <w:tcPr>
            <w:tcW w:w="7068" w:type="dxa"/>
            <w:vAlign w:val="center"/>
            <w:hideMark/>
          </w:tcPr>
          <w:p w14:paraId="3EDCAAA8"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Instituto Costarricense de Turismo (ICT)</w:t>
            </w:r>
          </w:p>
        </w:tc>
      </w:tr>
      <w:tr w:rsidR="007E5C22" w:rsidRPr="00DA1EB3" w14:paraId="70756DC2"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394C71AC"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139</w:t>
            </w:r>
          </w:p>
        </w:tc>
        <w:tc>
          <w:tcPr>
            <w:tcW w:w="7068" w:type="dxa"/>
            <w:vAlign w:val="center"/>
            <w:hideMark/>
          </w:tcPr>
          <w:p w14:paraId="44B1B4E4"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Instituto Costarricense Sobre Drogas (ICD)</w:t>
            </w:r>
          </w:p>
        </w:tc>
      </w:tr>
      <w:tr w:rsidR="007E5C22" w:rsidRPr="00DA1EB3" w14:paraId="6B79EC78"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6400B0FF"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140</w:t>
            </w:r>
          </w:p>
        </w:tc>
        <w:tc>
          <w:tcPr>
            <w:tcW w:w="7068" w:type="dxa"/>
            <w:vAlign w:val="center"/>
            <w:hideMark/>
          </w:tcPr>
          <w:p w14:paraId="09931ADB"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 xml:space="preserve">Instituto de Desarrollo Profesional </w:t>
            </w:r>
            <w:proofErr w:type="spellStart"/>
            <w:r w:rsidRPr="00345DAA">
              <w:rPr>
                <w:rFonts w:ascii="IBM Plex Sans" w:eastAsia="Times New Roman" w:hAnsi="IBM Plex Sans" w:cs="Arial"/>
                <w:color w:val="000000"/>
                <w:sz w:val="20"/>
                <w:szCs w:val="20"/>
                <w:lang w:eastAsia="es-CR"/>
              </w:rPr>
              <w:t>Uladislao</w:t>
            </w:r>
            <w:proofErr w:type="spellEnd"/>
            <w:r w:rsidRPr="00345DAA">
              <w:rPr>
                <w:rFonts w:ascii="IBM Plex Sans" w:eastAsia="Times New Roman" w:hAnsi="IBM Plex Sans" w:cs="Arial"/>
                <w:color w:val="000000"/>
                <w:sz w:val="20"/>
                <w:szCs w:val="20"/>
                <w:lang w:eastAsia="es-CR"/>
              </w:rPr>
              <w:t xml:space="preserve"> Gámez Solano</w:t>
            </w:r>
          </w:p>
        </w:tc>
      </w:tr>
      <w:tr w:rsidR="007E5C22" w:rsidRPr="00DA1EB3" w14:paraId="6FF3CA0E"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3F71982D"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141</w:t>
            </w:r>
          </w:p>
        </w:tc>
        <w:tc>
          <w:tcPr>
            <w:tcW w:w="7068" w:type="dxa"/>
            <w:vAlign w:val="center"/>
            <w:hideMark/>
          </w:tcPr>
          <w:p w14:paraId="03E7D570"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Instituto de Desarrollo Rural (INDER)</w:t>
            </w:r>
          </w:p>
        </w:tc>
      </w:tr>
      <w:tr w:rsidR="007E5C22" w:rsidRPr="00DA1EB3" w14:paraId="035659AA"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769B66E8"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142</w:t>
            </w:r>
          </w:p>
        </w:tc>
        <w:tc>
          <w:tcPr>
            <w:tcW w:w="7068" w:type="dxa"/>
            <w:vAlign w:val="center"/>
            <w:hideMark/>
          </w:tcPr>
          <w:p w14:paraId="42C7BACE" w14:textId="1BB4690D"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Instituto de Fomento y Asesoría Municipal (IFAM)</w:t>
            </w:r>
          </w:p>
        </w:tc>
      </w:tr>
      <w:tr w:rsidR="007E5C22" w:rsidRPr="00DA1EB3" w14:paraId="0D698189"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22BA86A8"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143</w:t>
            </w:r>
          </w:p>
        </w:tc>
        <w:tc>
          <w:tcPr>
            <w:tcW w:w="7068" w:type="dxa"/>
            <w:vAlign w:val="center"/>
            <w:hideMark/>
          </w:tcPr>
          <w:p w14:paraId="68CCA1D6"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Instituto del Café de Costa Rica (ICAFE)</w:t>
            </w:r>
          </w:p>
        </w:tc>
      </w:tr>
      <w:tr w:rsidR="007E5C22" w:rsidRPr="00DA1EB3" w14:paraId="6C040207"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239B22BD"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144</w:t>
            </w:r>
          </w:p>
        </w:tc>
        <w:tc>
          <w:tcPr>
            <w:tcW w:w="7068" w:type="dxa"/>
            <w:vAlign w:val="center"/>
            <w:hideMark/>
          </w:tcPr>
          <w:p w14:paraId="11906875"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Instituto Mixto de Ayuda Social (IMAS)</w:t>
            </w:r>
          </w:p>
        </w:tc>
      </w:tr>
      <w:tr w:rsidR="007E5C22" w:rsidRPr="00DA1EB3" w14:paraId="4B7E424E"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70CEC937"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lastRenderedPageBreak/>
              <w:t>145</w:t>
            </w:r>
          </w:p>
        </w:tc>
        <w:tc>
          <w:tcPr>
            <w:tcW w:w="7068" w:type="dxa"/>
            <w:vAlign w:val="center"/>
            <w:hideMark/>
          </w:tcPr>
          <w:p w14:paraId="480A3ACA"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Instituto Nacional de Aprendizaje (INA)</w:t>
            </w:r>
          </w:p>
        </w:tc>
      </w:tr>
      <w:tr w:rsidR="007E5C22" w:rsidRPr="00DA1EB3" w14:paraId="140B27F2"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45C28BE4"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146</w:t>
            </w:r>
          </w:p>
        </w:tc>
        <w:tc>
          <w:tcPr>
            <w:tcW w:w="7068" w:type="dxa"/>
            <w:vAlign w:val="center"/>
            <w:hideMark/>
          </w:tcPr>
          <w:p w14:paraId="537D96B3"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Instituto Nacional de Estadística y Censos (INEC)</w:t>
            </w:r>
          </w:p>
        </w:tc>
      </w:tr>
      <w:tr w:rsidR="007E5C22" w:rsidRPr="00DA1EB3" w14:paraId="303C4A08"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0B083D5E"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147</w:t>
            </w:r>
          </w:p>
        </w:tc>
        <w:tc>
          <w:tcPr>
            <w:tcW w:w="7068" w:type="dxa"/>
            <w:vAlign w:val="center"/>
            <w:hideMark/>
          </w:tcPr>
          <w:p w14:paraId="5626F971"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Instituto Nacional de Fomento Cooperativo (INFOCOOP)</w:t>
            </w:r>
          </w:p>
        </w:tc>
      </w:tr>
      <w:tr w:rsidR="007E5C22" w:rsidRPr="00DA1EB3" w14:paraId="20EB51E7" w14:textId="77777777" w:rsidTr="00345DAA">
        <w:trPr>
          <w:trHeight w:val="6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13F0D08D"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148</w:t>
            </w:r>
          </w:p>
        </w:tc>
        <w:tc>
          <w:tcPr>
            <w:tcW w:w="7068" w:type="dxa"/>
            <w:vAlign w:val="center"/>
            <w:hideMark/>
          </w:tcPr>
          <w:p w14:paraId="187D7B2E"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Instituto Nacional de Innovación y Transferencia en Tecnología Agropecuaria (INTA)</w:t>
            </w:r>
          </w:p>
        </w:tc>
      </w:tr>
      <w:tr w:rsidR="007E5C22" w:rsidRPr="00DA1EB3" w14:paraId="0E93EC89"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7EB1DB9D"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149</w:t>
            </w:r>
          </w:p>
        </w:tc>
        <w:tc>
          <w:tcPr>
            <w:tcW w:w="7068" w:type="dxa"/>
            <w:vAlign w:val="center"/>
            <w:hideMark/>
          </w:tcPr>
          <w:p w14:paraId="084307EE"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Instituto Nacional de las Mujeres (INAMU)</w:t>
            </w:r>
          </w:p>
        </w:tc>
      </w:tr>
      <w:tr w:rsidR="007E5C22" w:rsidRPr="00DA1EB3" w14:paraId="092B5206"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5BE60AA6"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150</w:t>
            </w:r>
          </w:p>
        </w:tc>
        <w:tc>
          <w:tcPr>
            <w:tcW w:w="7068" w:type="dxa"/>
            <w:vAlign w:val="center"/>
            <w:hideMark/>
          </w:tcPr>
          <w:p w14:paraId="23337C11"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Instituto Nacional de Seguros (INS)</w:t>
            </w:r>
          </w:p>
        </w:tc>
      </w:tr>
      <w:tr w:rsidR="007E5C22" w:rsidRPr="00DA1EB3" w14:paraId="1E1BCF19"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5DF66C58"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151</w:t>
            </w:r>
          </w:p>
        </w:tc>
        <w:tc>
          <w:tcPr>
            <w:tcW w:w="7068" w:type="dxa"/>
            <w:vAlign w:val="center"/>
            <w:hideMark/>
          </w:tcPr>
          <w:p w14:paraId="51A766B3"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Instituto Nacional de Vivienda y Urbanismo (INVU)</w:t>
            </w:r>
          </w:p>
        </w:tc>
      </w:tr>
      <w:tr w:rsidR="007E5C22" w:rsidRPr="00DA1EB3" w14:paraId="7E2BE8AE"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2BE4C567"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152</w:t>
            </w:r>
          </w:p>
        </w:tc>
        <w:tc>
          <w:tcPr>
            <w:tcW w:w="7068" w:type="dxa"/>
            <w:vAlign w:val="center"/>
            <w:hideMark/>
          </w:tcPr>
          <w:p w14:paraId="0275D9A9"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Instituto sobre Alcoholismo y Farmacodependencia (IAFA)</w:t>
            </w:r>
          </w:p>
        </w:tc>
      </w:tr>
      <w:tr w:rsidR="007E5C22" w:rsidRPr="00DA1EB3" w14:paraId="7507C9FF"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758A5591"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153</w:t>
            </w:r>
          </w:p>
        </w:tc>
        <w:tc>
          <w:tcPr>
            <w:tcW w:w="7068" w:type="dxa"/>
            <w:vAlign w:val="center"/>
            <w:hideMark/>
          </w:tcPr>
          <w:p w14:paraId="5701A445"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Instituto Tecnológico de Costa Rica (ITCR)</w:t>
            </w:r>
          </w:p>
        </w:tc>
      </w:tr>
      <w:tr w:rsidR="007E5C22" w:rsidRPr="00DA1EB3" w14:paraId="3CAC61A9"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46DD4129"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154</w:t>
            </w:r>
          </w:p>
        </w:tc>
        <w:tc>
          <w:tcPr>
            <w:tcW w:w="7068" w:type="dxa"/>
            <w:vAlign w:val="center"/>
            <w:hideMark/>
          </w:tcPr>
          <w:p w14:paraId="31198FBF"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Junta Administrativa de la Imprenta Nacional</w:t>
            </w:r>
          </w:p>
        </w:tc>
      </w:tr>
      <w:tr w:rsidR="007E5C22" w:rsidRPr="00DA1EB3" w14:paraId="54DE7C24"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3C2B70FA"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155</w:t>
            </w:r>
          </w:p>
        </w:tc>
        <w:tc>
          <w:tcPr>
            <w:tcW w:w="7068" w:type="dxa"/>
            <w:vAlign w:val="center"/>
            <w:hideMark/>
          </w:tcPr>
          <w:p w14:paraId="699A05D4"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Junta Administrativa del Registro Nacional</w:t>
            </w:r>
          </w:p>
        </w:tc>
      </w:tr>
      <w:tr w:rsidR="007E5C22" w:rsidRPr="00DA1EB3" w14:paraId="584CE434" w14:textId="77777777" w:rsidTr="00345DAA">
        <w:trPr>
          <w:trHeight w:val="6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764D6105"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156</w:t>
            </w:r>
          </w:p>
        </w:tc>
        <w:tc>
          <w:tcPr>
            <w:tcW w:w="7068" w:type="dxa"/>
            <w:vAlign w:val="center"/>
            <w:hideMark/>
          </w:tcPr>
          <w:p w14:paraId="118FE4E5"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Junta Administrativa del Servicio Eléctrico Municipal de Cartago (JASEC)</w:t>
            </w:r>
          </w:p>
        </w:tc>
      </w:tr>
      <w:tr w:rsidR="007E5C22" w:rsidRPr="00DA1EB3" w14:paraId="2DCC4E2B" w14:textId="77777777" w:rsidTr="00345DA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18DB95E1"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157</w:t>
            </w:r>
          </w:p>
        </w:tc>
        <w:tc>
          <w:tcPr>
            <w:tcW w:w="7068" w:type="dxa"/>
            <w:vAlign w:val="center"/>
            <w:hideMark/>
          </w:tcPr>
          <w:p w14:paraId="3B119D4C"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Junta de Administración Portuaria y de Desarrollo Económico de la Vertiente Atlántica (JAPDEVA)</w:t>
            </w:r>
          </w:p>
        </w:tc>
      </w:tr>
      <w:tr w:rsidR="007E5C22" w:rsidRPr="00DA1EB3" w14:paraId="1AB1B8BC"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11DF8E22"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158</w:t>
            </w:r>
          </w:p>
        </w:tc>
        <w:tc>
          <w:tcPr>
            <w:tcW w:w="7068" w:type="dxa"/>
            <w:vAlign w:val="center"/>
            <w:hideMark/>
          </w:tcPr>
          <w:p w14:paraId="485C5EE8"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Junta de Desarrollo Regional de la Zona Sur (JUDESUR)</w:t>
            </w:r>
          </w:p>
        </w:tc>
      </w:tr>
      <w:tr w:rsidR="007E5C22" w:rsidRPr="00DA1EB3" w14:paraId="611BA962" w14:textId="77777777" w:rsidTr="00345DA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2F08BE98"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159</w:t>
            </w:r>
          </w:p>
        </w:tc>
        <w:tc>
          <w:tcPr>
            <w:tcW w:w="7068" w:type="dxa"/>
            <w:vAlign w:val="center"/>
            <w:hideMark/>
          </w:tcPr>
          <w:p w14:paraId="7D848CD4"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Junta de Pensiones y Jubilaciones del Magisterio Nacional (JUPEMA)</w:t>
            </w:r>
          </w:p>
        </w:tc>
      </w:tr>
      <w:tr w:rsidR="007E5C22" w:rsidRPr="00DA1EB3" w14:paraId="3A5147F2"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7D3E04EA"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160</w:t>
            </w:r>
          </w:p>
        </w:tc>
        <w:tc>
          <w:tcPr>
            <w:tcW w:w="7068" w:type="dxa"/>
            <w:vAlign w:val="center"/>
            <w:hideMark/>
          </w:tcPr>
          <w:p w14:paraId="4F4F8FED"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Junta de Protección Social (JPS)</w:t>
            </w:r>
          </w:p>
        </w:tc>
      </w:tr>
      <w:tr w:rsidR="007E5C22" w:rsidRPr="00DA1EB3" w14:paraId="6B09B7F4" w14:textId="77777777" w:rsidTr="00345DA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5B41E861"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161</w:t>
            </w:r>
          </w:p>
        </w:tc>
        <w:tc>
          <w:tcPr>
            <w:tcW w:w="7068" w:type="dxa"/>
            <w:vAlign w:val="center"/>
            <w:hideMark/>
          </w:tcPr>
          <w:p w14:paraId="0A7CA66F"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Junta Directiva del Parque Recreativo Nacional Playas de Manuel Antonio</w:t>
            </w:r>
          </w:p>
        </w:tc>
      </w:tr>
      <w:tr w:rsidR="007E5C22" w:rsidRPr="00DA1EB3" w14:paraId="0A7FBD19" w14:textId="77777777" w:rsidTr="00345DAA">
        <w:trPr>
          <w:trHeight w:val="6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6EE2FE5A"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162</w:t>
            </w:r>
          </w:p>
        </w:tc>
        <w:tc>
          <w:tcPr>
            <w:tcW w:w="7068" w:type="dxa"/>
            <w:vAlign w:val="center"/>
            <w:hideMark/>
          </w:tcPr>
          <w:p w14:paraId="1544C67F"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Junta Promotora de Turismo de la Ciudad de Puntarenas (al INCOP)</w:t>
            </w:r>
          </w:p>
        </w:tc>
      </w:tr>
      <w:tr w:rsidR="007E5C22" w:rsidRPr="00DA1EB3" w14:paraId="4916A863"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61861C15"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163</w:t>
            </w:r>
          </w:p>
        </w:tc>
        <w:tc>
          <w:tcPr>
            <w:tcW w:w="7068" w:type="dxa"/>
            <w:vAlign w:val="center"/>
            <w:hideMark/>
          </w:tcPr>
          <w:p w14:paraId="70F02DB7"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Laboratorio Costarricense de Metrología (LACOMET)</w:t>
            </w:r>
          </w:p>
        </w:tc>
      </w:tr>
      <w:tr w:rsidR="007E5C22" w:rsidRPr="00DA1EB3" w14:paraId="27BE50BD"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0546AED1"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164</w:t>
            </w:r>
          </w:p>
        </w:tc>
        <w:tc>
          <w:tcPr>
            <w:tcW w:w="7068" w:type="dxa"/>
            <w:vAlign w:val="center"/>
            <w:hideMark/>
          </w:tcPr>
          <w:p w14:paraId="03AD3B08"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Liga Agrícola Industrial de la Caña de Azúcar (LAICA)</w:t>
            </w:r>
          </w:p>
        </w:tc>
      </w:tr>
      <w:tr w:rsidR="007E5C22" w:rsidRPr="00DA1EB3" w14:paraId="7AE409F0"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4B2C2A4B"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165</w:t>
            </w:r>
          </w:p>
        </w:tc>
        <w:tc>
          <w:tcPr>
            <w:tcW w:w="7068" w:type="dxa"/>
            <w:vAlign w:val="center"/>
            <w:hideMark/>
          </w:tcPr>
          <w:p w14:paraId="785F4B98"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Ministerio de Agricultura y Ganadería (MAG)</w:t>
            </w:r>
          </w:p>
        </w:tc>
      </w:tr>
      <w:tr w:rsidR="007E5C22" w:rsidRPr="00DA1EB3" w14:paraId="343C28E5"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195E48FB"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166</w:t>
            </w:r>
          </w:p>
        </w:tc>
        <w:tc>
          <w:tcPr>
            <w:tcW w:w="7068" w:type="dxa"/>
            <w:vAlign w:val="center"/>
            <w:hideMark/>
          </w:tcPr>
          <w:p w14:paraId="51228459"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Ministerio de Ambiente y Energía (MINAE)</w:t>
            </w:r>
          </w:p>
        </w:tc>
      </w:tr>
      <w:tr w:rsidR="007E5C22" w:rsidRPr="00DA1EB3" w14:paraId="07A80D3D" w14:textId="77777777" w:rsidTr="00345DA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02F99583"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167</w:t>
            </w:r>
          </w:p>
        </w:tc>
        <w:tc>
          <w:tcPr>
            <w:tcW w:w="7068" w:type="dxa"/>
            <w:vAlign w:val="center"/>
            <w:hideMark/>
          </w:tcPr>
          <w:p w14:paraId="3BE97E88" w14:textId="272D14D1"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Ministerio de Ciencia, Tecnología y Telecomunicaciones (MICITT)</w:t>
            </w:r>
          </w:p>
        </w:tc>
      </w:tr>
      <w:tr w:rsidR="007E5C22" w:rsidRPr="00DA1EB3" w14:paraId="067E96B6"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5510A1DE"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168</w:t>
            </w:r>
          </w:p>
        </w:tc>
        <w:tc>
          <w:tcPr>
            <w:tcW w:w="7068" w:type="dxa"/>
            <w:vAlign w:val="center"/>
            <w:hideMark/>
          </w:tcPr>
          <w:p w14:paraId="7A1EB123"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Ministerio de Comercio Exterior (COMEX)</w:t>
            </w:r>
          </w:p>
        </w:tc>
      </w:tr>
      <w:tr w:rsidR="007E5C22" w:rsidRPr="00DA1EB3" w14:paraId="73DA1647"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4168757F"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169</w:t>
            </w:r>
          </w:p>
        </w:tc>
        <w:tc>
          <w:tcPr>
            <w:tcW w:w="7068" w:type="dxa"/>
            <w:vAlign w:val="center"/>
            <w:hideMark/>
          </w:tcPr>
          <w:p w14:paraId="5F705783"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Ministerio de Cultura y Juventud (MCJ)</w:t>
            </w:r>
          </w:p>
        </w:tc>
      </w:tr>
      <w:tr w:rsidR="007E5C22" w:rsidRPr="00DA1EB3" w14:paraId="1906FB59"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10958BE5"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170</w:t>
            </w:r>
          </w:p>
        </w:tc>
        <w:tc>
          <w:tcPr>
            <w:tcW w:w="7068" w:type="dxa"/>
            <w:vAlign w:val="center"/>
            <w:hideMark/>
          </w:tcPr>
          <w:p w14:paraId="54248B75"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Ministerio de Economía, Industria y Comercio (MEIC)</w:t>
            </w:r>
          </w:p>
        </w:tc>
      </w:tr>
      <w:tr w:rsidR="007E5C22" w:rsidRPr="00DA1EB3" w14:paraId="075518AF"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3BE531C4"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171</w:t>
            </w:r>
          </w:p>
        </w:tc>
        <w:tc>
          <w:tcPr>
            <w:tcW w:w="7068" w:type="dxa"/>
            <w:vAlign w:val="center"/>
            <w:hideMark/>
          </w:tcPr>
          <w:p w14:paraId="62B2FB07"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Ministerio de Educación Pública (MEP)</w:t>
            </w:r>
          </w:p>
        </w:tc>
      </w:tr>
      <w:tr w:rsidR="007E5C22" w:rsidRPr="00DA1EB3" w14:paraId="3C6EFF70"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66A09C95"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172</w:t>
            </w:r>
          </w:p>
        </w:tc>
        <w:tc>
          <w:tcPr>
            <w:tcW w:w="7068" w:type="dxa"/>
            <w:vAlign w:val="center"/>
            <w:hideMark/>
          </w:tcPr>
          <w:p w14:paraId="3AA3E402"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Ministerio de Gobernación y Policía</w:t>
            </w:r>
          </w:p>
        </w:tc>
      </w:tr>
      <w:tr w:rsidR="007E5C22" w:rsidRPr="00DA1EB3" w14:paraId="5FFCC59C"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094A35F2"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173</w:t>
            </w:r>
          </w:p>
        </w:tc>
        <w:tc>
          <w:tcPr>
            <w:tcW w:w="7068" w:type="dxa"/>
            <w:vAlign w:val="center"/>
            <w:hideMark/>
          </w:tcPr>
          <w:p w14:paraId="7F04389C"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Ministerio de Hacienda</w:t>
            </w:r>
          </w:p>
        </w:tc>
      </w:tr>
      <w:tr w:rsidR="007E5C22" w:rsidRPr="00DA1EB3" w14:paraId="261F8457"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7F35E522"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174</w:t>
            </w:r>
          </w:p>
        </w:tc>
        <w:tc>
          <w:tcPr>
            <w:tcW w:w="7068" w:type="dxa"/>
            <w:vAlign w:val="center"/>
            <w:hideMark/>
          </w:tcPr>
          <w:p w14:paraId="51A44608"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Ministerio de Justicia y Paz</w:t>
            </w:r>
          </w:p>
        </w:tc>
      </w:tr>
      <w:tr w:rsidR="007E5C22" w:rsidRPr="00DA1EB3" w14:paraId="7244F348"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2224B282"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175</w:t>
            </w:r>
          </w:p>
        </w:tc>
        <w:tc>
          <w:tcPr>
            <w:tcW w:w="7068" w:type="dxa"/>
            <w:vAlign w:val="center"/>
            <w:hideMark/>
          </w:tcPr>
          <w:p w14:paraId="74E0E1D7"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Ministerio de la Presidencia</w:t>
            </w:r>
          </w:p>
        </w:tc>
      </w:tr>
      <w:tr w:rsidR="007E5C22" w:rsidRPr="00DA1EB3" w14:paraId="7C3F2889"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5A360CDD"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176</w:t>
            </w:r>
          </w:p>
        </w:tc>
        <w:tc>
          <w:tcPr>
            <w:tcW w:w="7068" w:type="dxa"/>
            <w:vAlign w:val="center"/>
            <w:hideMark/>
          </w:tcPr>
          <w:p w14:paraId="66984FED"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Ministerio de Obras Públicas y Transportes (MOPT)</w:t>
            </w:r>
          </w:p>
        </w:tc>
      </w:tr>
      <w:tr w:rsidR="007E5C22" w:rsidRPr="00DA1EB3" w14:paraId="4D5DA007" w14:textId="77777777" w:rsidTr="00345DA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1E031020"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177</w:t>
            </w:r>
          </w:p>
        </w:tc>
        <w:tc>
          <w:tcPr>
            <w:tcW w:w="7068" w:type="dxa"/>
            <w:vAlign w:val="center"/>
            <w:hideMark/>
          </w:tcPr>
          <w:p w14:paraId="768E54F1"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Ministerio de Planificación Nacional y Política Económica (MIDEPLAN)</w:t>
            </w:r>
          </w:p>
        </w:tc>
      </w:tr>
      <w:tr w:rsidR="007E5C22" w:rsidRPr="00DA1EB3" w14:paraId="1197F7B6"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1BD11DC3"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178</w:t>
            </w:r>
          </w:p>
        </w:tc>
        <w:tc>
          <w:tcPr>
            <w:tcW w:w="7068" w:type="dxa"/>
            <w:vAlign w:val="center"/>
            <w:hideMark/>
          </w:tcPr>
          <w:p w14:paraId="406F86ED"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Ministerio de Relaciones Exteriores y Culto</w:t>
            </w:r>
          </w:p>
        </w:tc>
      </w:tr>
      <w:tr w:rsidR="007E5C22" w:rsidRPr="00DA1EB3" w14:paraId="13CC608B"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0E06AAC8"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179</w:t>
            </w:r>
          </w:p>
        </w:tc>
        <w:tc>
          <w:tcPr>
            <w:tcW w:w="7068" w:type="dxa"/>
            <w:vAlign w:val="center"/>
            <w:hideMark/>
          </w:tcPr>
          <w:p w14:paraId="30D26DD5"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Ministerio de Salud</w:t>
            </w:r>
          </w:p>
        </w:tc>
      </w:tr>
      <w:tr w:rsidR="007E5C22" w:rsidRPr="00DA1EB3" w14:paraId="112C88FC"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22A07802"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180</w:t>
            </w:r>
          </w:p>
        </w:tc>
        <w:tc>
          <w:tcPr>
            <w:tcW w:w="7068" w:type="dxa"/>
            <w:vAlign w:val="center"/>
            <w:hideMark/>
          </w:tcPr>
          <w:p w14:paraId="0128B175"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Ministerio de Seguridad Pública (MSP)</w:t>
            </w:r>
          </w:p>
        </w:tc>
      </w:tr>
      <w:tr w:rsidR="007E5C22" w:rsidRPr="00DA1EB3" w14:paraId="23AA3CC4"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748FD6DB"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181</w:t>
            </w:r>
          </w:p>
        </w:tc>
        <w:tc>
          <w:tcPr>
            <w:tcW w:w="7068" w:type="dxa"/>
            <w:vAlign w:val="center"/>
            <w:hideMark/>
          </w:tcPr>
          <w:p w14:paraId="4D327473"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Ministerio de Trabajo y Seguridad Social (MTSS)</w:t>
            </w:r>
          </w:p>
        </w:tc>
      </w:tr>
      <w:tr w:rsidR="007E5C22" w:rsidRPr="00DA1EB3" w14:paraId="7542F433"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54E9EEA3"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lastRenderedPageBreak/>
              <w:t>182</w:t>
            </w:r>
          </w:p>
        </w:tc>
        <w:tc>
          <w:tcPr>
            <w:tcW w:w="7068" w:type="dxa"/>
            <w:vAlign w:val="center"/>
            <w:hideMark/>
          </w:tcPr>
          <w:p w14:paraId="2D74CF56"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Ministerio de Vivienda y Asentamientos Humanos (MIVAH)</w:t>
            </w:r>
          </w:p>
        </w:tc>
      </w:tr>
      <w:tr w:rsidR="007E5C22" w:rsidRPr="00DA1EB3" w14:paraId="7EC36F08"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249F4031"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183</w:t>
            </w:r>
          </w:p>
        </w:tc>
        <w:tc>
          <w:tcPr>
            <w:tcW w:w="7068" w:type="dxa"/>
            <w:vAlign w:val="center"/>
            <w:hideMark/>
          </w:tcPr>
          <w:p w14:paraId="0C6E4E6D"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Abangares</w:t>
            </w:r>
          </w:p>
        </w:tc>
      </w:tr>
      <w:tr w:rsidR="007E5C22" w:rsidRPr="00DA1EB3" w14:paraId="716F8A07"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2A877208"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184</w:t>
            </w:r>
          </w:p>
        </w:tc>
        <w:tc>
          <w:tcPr>
            <w:tcW w:w="7068" w:type="dxa"/>
            <w:vAlign w:val="center"/>
            <w:hideMark/>
          </w:tcPr>
          <w:p w14:paraId="292E5494"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Acosta</w:t>
            </w:r>
          </w:p>
        </w:tc>
      </w:tr>
      <w:tr w:rsidR="007E5C22" w:rsidRPr="00DA1EB3" w14:paraId="41ED593E"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5F0F2DB2"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185</w:t>
            </w:r>
          </w:p>
        </w:tc>
        <w:tc>
          <w:tcPr>
            <w:tcW w:w="7068" w:type="dxa"/>
            <w:vAlign w:val="center"/>
            <w:hideMark/>
          </w:tcPr>
          <w:p w14:paraId="6458E8F1"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Alajuela</w:t>
            </w:r>
          </w:p>
        </w:tc>
      </w:tr>
      <w:tr w:rsidR="007E5C22" w:rsidRPr="00DA1EB3" w14:paraId="5A99AE82"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49856462"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186</w:t>
            </w:r>
          </w:p>
        </w:tc>
        <w:tc>
          <w:tcPr>
            <w:tcW w:w="7068" w:type="dxa"/>
            <w:vAlign w:val="center"/>
            <w:hideMark/>
          </w:tcPr>
          <w:p w14:paraId="1D68DAAC"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Alajuelita</w:t>
            </w:r>
          </w:p>
        </w:tc>
      </w:tr>
      <w:tr w:rsidR="007E5C22" w:rsidRPr="00DA1EB3" w14:paraId="5D6A6E4C"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54C889A4"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187</w:t>
            </w:r>
          </w:p>
        </w:tc>
        <w:tc>
          <w:tcPr>
            <w:tcW w:w="7068" w:type="dxa"/>
            <w:vAlign w:val="center"/>
            <w:hideMark/>
          </w:tcPr>
          <w:p w14:paraId="2C553F4E"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Alvarado</w:t>
            </w:r>
          </w:p>
        </w:tc>
      </w:tr>
      <w:tr w:rsidR="007E5C22" w:rsidRPr="00DA1EB3" w14:paraId="181C3886"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57164714"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188</w:t>
            </w:r>
          </w:p>
        </w:tc>
        <w:tc>
          <w:tcPr>
            <w:tcW w:w="7068" w:type="dxa"/>
            <w:vAlign w:val="center"/>
            <w:hideMark/>
          </w:tcPr>
          <w:p w14:paraId="0CB1B292"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Aserrí</w:t>
            </w:r>
          </w:p>
        </w:tc>
      </w:tr>
      <w:tr w:rsidR="007E5C22" w:rsidRPr="00DA1EB3" w14:paraId="0E8483F6"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0DB129F9"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189</w:t>
            </w:r>
          </w:p>
        </w:tc>
        <w:tc>
          <w:tcPr>
            <w:tcW w:w="7068" w:type="dxa"/>
            <w:vAlign w:val="center"/>
            <w:hideMark/>
          </w:tcPr>
          <w:p w14:paraId="60A3FF42"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Atenas</w:t>
            </w:r>
          </w:p>
        </w:tc>
      </w:tr>
      <w:tr w:rsidR="007E5C22" w:rsidRPr="00DA1EB3" w14:paraId="2D7856C8"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0CC726F2"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190</w:t>
            </w:r>
          </w:p>
        </w:tc>
        <w:tc>
          <w:tcPr>
            <w:tcW w:w="7068" w:type="dxa"/>
            <w:vAlign w:val="center"/>
            <w:hideMark/>
          </w:tcPr>
          <w:p w14:paraId="4F2DDCB1"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Bagaces</w:t>
            </w:r>
          </w:p>
        </w:tc>
      </w:tr>
      <w:tr w:rsidR="007E5C22" w:rsidRPr="00DA1EB3" w14:paraId="7B03552B"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7CA60062"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191</w:t>
            </w:r>
          </w:p>
        </w:tc>
        <w:tc>
          <w:tcPr>
            <w:tcW w:w="7068" w:type="dxa"/>
            <w:vAlign w:val="center"/>
            <w:hideMark/>
          </w:tcPr>
          <w:p w14:paraId="0769A59E"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Barva</w:t>
            </w:r>
          </w:p>
        </w:tc>
      </w:tr>
      <w:tr w:rsidR="007E5C22" w:rsidRPr="00DA1EB3" w14:paraId="61F85DA3"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49E74A5B"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192</w:t>
            </w:r>
          </w:p>
        </w:tc>
        <w:tc>
          <w:tcPr>
            <w:tcW w:w="7068" w:type="dxa"/>
            <w:vAlign w:val="center"/>
            <w:hideMark/>
          </w:tcPr>
          <w:p w14:paraId="491C6916"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Belén</w:t>
            </w:r>
          </w:p>
        </w:tc>
      </w:tr>
      <w:tr w:rsidR="007E5C22" w:rsidRPr="00DA1EB3" w14:paraId="1FDEBCA8"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102D1E98"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193</w:t>
            </w:r>
          </w:p>
        </w:tc>
        <w:tc>
          <w:tcPr>
            <w:tcW w:w="7068" w:type="dxa"/>
            <w:vAlign w:val="center"/>
            <w:hideMark/>
          </w:tcPr>
          <w:p w14:paraId="2DFB61AC"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Buenos Aires</w:t>
            </w:r>
          </w:p>
        </w:tc>
      </w:tr>
      <w:tr w:rsidR="007E5C22" w:rsidRPr="00DA1EB3" w14:paraId="43E0CDD1"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3EF84336"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194</w:t>
            </w:r>
          </w:p>
        </w:tc>
        <w:tc>
          <w:tcPr>
            <w:tcW w:w="7068" w:type="dxa"/>
            <w:vAlign w:val="center"/>
            <w:hideMark/>
          </w:tcPr>
          <w:p w14:paraId="553741B6"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Cañas</w:t>
            </w:r>
          </w:p>
        </w:tc>
      </w:tr>
      <w:tr w:rsidR="007E5C22" w:rsidRPr="00DA1EB3" w14:paraId="5D31D202"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22449794"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195</w:t>
            </w:r>
          </w:p>
        </w:tc>
        <w:tc>
          <w:tcPr>
            <w:tcW w:w="7068" w:type="dxa"/>
            <w:vAlign w:val="center"/>
            <w:hideMark/>
          </w:tcPr>
          <w:p w14:paraId="3C77DBA3"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Carrillo</w:t>
            </w:r>
          </w:p>
        </w:tc>
      </w:tr>
      <w:tr w:rsidR="007E5C22" w:rsidRPr="00DA1EB3" w14:paraId="7AD26EEC"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5B526FBD"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196</w:t>
            </w:r>
          </w:p>
        </w:tc>
        <w:tc>
          <w:tcPr>
            <w:tcW w:w="7068" w:type="dxa"/>
            <w:vAlign w:val="center"/>
            <w:hideMark/>
          </w:tcPr>
          <w:p w14:paraId="04959DC6"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Cartago</w:t>
            </w:r>
          </w:p>
        </w:tc>
      </w:tr>
      <w:tr w:rsidR="007E5C22" w:rsidRPr="00DA1EB3" w14:paraId="2A84A738"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75F64433"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197</w:t>
            </w:r>
          </w:p>
        </w:tc>
        <w:tc>
          <w:tcPr>
            <w:tcW w:w="7068" w:type="dxa"/>
            <w:vAlign w:val="center"/>
            <w:hideMark/>
          </w:tcPr>
          <w:p w14:paraId="03A34B19"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Corredores</w:t>
            </w:r>
          </w:p>
        </w:tc>
      </w:tr>
      <w:tr w:rsidR="007E5C22" w:rsidRPr="00DA1EB3" w14:paraId="1B362F6A"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3E0FDE78"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198</w:t>
            </w:r>
          </w:p>
        </w:tc>
        <w:tc>
          <w:tcPr>
            <w:tcW w:w="7068" w:type="dxa"/>
            <w:vAlign w:val="center"/>
            <w:hideMark/>
          </w:tcPr>
          <w:p w14:paraId="01D6743E"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Coto Brus</w:t>
            </w:r>
          </w:p>
        </w:tc>
      </w:tr>
      <w:tr w:rsidR="007E5C22" w:rsidRPr="00DA1EB3" w14:paraId="009A7232"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08C5B487"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199</w:t>
            </w:r>
          </w:p>
        </w:tc>
        <w:tc>
          <w:tcPr>
            <w:tcW w:w="7068" w:type="dxa"/>
            <w:vAlign w:val="center"/>
            <w:hideMark/>
          </w:tcPr>
          <w:p w14:paraId="23AB604F"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Curridabat</w:t>
            </w:r>
          </w:p>
        </w:tc>
      </w:tr>
      <w:tr w:rsidR="007E5C22" w:rsidRPr="00DA1EB3" w14:paraId="7C2107A3"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401BA42F"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200</w:t>
            </w:r>
          </w:p>
        </w:tc>
        <w:tc>
          <w:tcPr>
            <w:tcW w:w="7068" w:type="dxa"/>
            <w:vAlign w:val="center"/>
            <w:hideMark/>
          </w:tcPr>
          <w:p w14:paraId="7F766581"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Desamparados</w:t>
            </w:r>
          </w:p>
        </w:tc>
      </w:tr>
      <w:tr w:rsidR="007E5C22" w:rsidRPr="00DA1EB3" w14:paraId="20D81610"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1A2EE922"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201</w:t>
            </w:r>
          </w:p>
        </w:tc>
        <w:tc>
          <w:tcPr>
            <w:tcW w:w="7068" w:type="dxa"/>
            <w:vAlign w:val="center"/>
            <w:hideMark/>
          </w:tcPr>
          <w:p w14:paraId="14B28D01"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Dota</w:t>
            </w:r>
          </w:p>
        </w:tc>
      </w:tr>
      <w:tr w:rsidR="007E5C22" w:rsidRPr="00DA1EB3" w14:paraId="72240A84"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1CD32E38"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202</w:t>
            </w:r>
          </w:p>
        </w:tc>
        <w:tc>
          <w:tcPr>
            <w:tcW w:w="7068" w:type="dxa"/>
            <w:vAlign w:val="center"/>
            <w:hideMark/>
          </w:tcPr>
          <w:p w14:paraId="6CA0DBFB"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El Guarco</w:t>
            </w:r>
          </w:p>
        </w:tc>
      </w:tr>
      <w:tr w:rsidR="007E5C22" w:rsidRPr="00DA1EB3" w14:paraId="28B41FB9"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6BB45E2A"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203</w:t>
            </w:r>
          </w:p>
        </w:tc>
        <w:tc>
          <w:tcPr>
            <w:tcW w:w="7068" w:type="dxa"/>
            <w:vAlign w:val="center"/>
            <w:hideMark/>
          </w:tcPr>
          <w:p w14:paraId="018D66F9"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Escazú</w:t>
            </w:r>
          </w:p>
        </w:tc>
      </w:tr>
      <w:tr w:rsidR="007E5C22" w:rsidRPr="00DA1EB3" w14:paraId="2C442EBA"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2131B7B4"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204</w:t>
            </w:r>
          </w:p>
        </w:tc>
        <w:tc>
          <w:tcPr>
            <w:tcW w:w="7068" w:type="dxa"/>
            <w:vAlign w:val="center"/>
            <w:hideMark/>
          </w:tcPr>
          <w:p w14:paraId="0B613BEA"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Esparza</w:t>
            </w:r>
          </w:p>
        </w:tc>
      </w:tr>
      <w:tr w:rsidR="007E5C22" w:rsidRPr="00DA1EB3" w14:paraId="2981381C"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4EC165EE"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205</w:t>
            </w:r>
          </w:p>
        </w:tc>
        <w:tc>
          <w:tcPr>
            <w:tcW w:w="7068" w:type="dxa"/>
            <w:vAlign w:val="center"/>
            <w:hideMark/>
          </w:tcPr>
          <w:p w14:paraId="6C70412C"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Flores</w:t>
            </w:r>
          </w:p>
        </w:tc>
      </w:tr>
      <w:tr w:rsidR="007E5C22" w:rsidRPr="00DA1EB3" w14:paraId="0AFDD13B"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5D525F37"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206</w:t>
            </w:r>
          </w:p>
        </w:tc>
        <w:tc>
          <w:tcPr>
            <w:tcW w:w="7068" w:type="dxa"/>
            <w:vAlign w:val="center"/>
            <w:hideMark/>
          </w:tcPr>
          <w:p w14:paraId="3C1BA10A"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Garabito</w:t>
            </w:r>
          </w:p>
        </w:tc>
      </w:tr>
      <w:tr w:rsidR="007E5C22" w:rsidRPr="00DA1EB3" w14:paraId="678E05C5"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46507AAE"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207</w:t>
            </w:r>
          </w:p>
        </w:tc>
        <w:tc>
          <w:tcPr>
            <w:tcW w:w="7068" w:type="dxa"/>
            <w:vAlign w:val="center"/>
            <w:hideMark/>
          </w:tcPr>
          <w:p w14:paraId="187F5289"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Goicoechea</w:t>
            </w:r>
          </w:p>
        </w:tc>
      </w:tr>
      <w:tr w:rsidR="007E5C22" w:rsidRPr="00DA1EB3" w14:paraId="2E0FBF40"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4E8032A7"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208</w:t>
            </w:r>
          </w:p>
        </w:tc>
        <w:tc>
          <w:tcPr>
            <w:tcW w:w="7068" w:type="dxa"/>
            <w:vAlign w:val="center"/>
            <w:hideMark/>
          </w:tcPr>
          <w:p w14:paraId="27241393"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Golfito</w:t>
            </w:r>
          </w:p>
        </w:tc>
      </w:tr>
      <w:tr w:rsidR="007E5C22" w:rsidRPr="00DA1EB3" w14:paraId="7840FC7A"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2D28D3B7"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209</w:t>
            </w:r>
          </w:p>
        </w:tc>
        <w:tc>
          <w:tcPr>
            <w:tcW w:w="7068" w:type="dxa"/>
            <w:vAlign w:val="center"/>
            <w:hideMark/>
          </w:tcPr>
          <w:p w14:paraId="124EE8AD"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Grecia</w:t>
            </w:r>
          </w:p>
        </w:tc>
      </w:tr>
      <w:tr w:rsidR="007E5C22" w:rsidRPr="00DA1EB3" w14:paraId="3C8EC3B6"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7022C708"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210</w:t>
            </w:r>
          </w:p>
        </w:tc>
        <w:tc>
          <w:tcPr>
            <w:tcW w:w="7068" w:type="dxa"/>
            <w:vAlign w:val="center"/>
            <w:hideMark/>
          </w:tcPr>
          <w:p w14:paraId="013A81B6"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Guácimo</w:t>
            </w:r>
          </w:p>
        </w:tc>
      </w:tr>
      <w:tr w:rsidR="007E5C22" w:rsidRPr="00DA1EB3" w14:paraId="5E7F05AF"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4BF6F77B"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211</w:t>
            </w:r>
          </w:p>
        </w:tc>
        <w:tc>
          <w:tcPr>
            <w:tcW w:w="7068" w:type="dxa"/>
            <w:vAlign w:val="center"/>
            <w:hideMark/>
          </w:tcPr>
          <w:p w14:paraId="5C81113C"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Guatuso</w:t>
            </w:r>
          </w:p>
        </w:tc>
      </w:tr>
      <w:tr w:rsidR="007E5C22" w:rsidRPr="00DA1EB3" w14:paraId="0ECD0DA0"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4A09F113"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212</w:t>
            </w:r>
          </w:p>
        </w:tc>
        <w:tc>
          <w:tcPr>
            <w:tcW w:w="7068" w:type="dxa"/>
            <w:vAlign w:val="center"/>
            <w:hideMark/>
          </w:tcPr>
          <w:p w14:paraId="7A725252"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Heredia</w:t>
            </w:r>
          </w:p>
        </w:tc>
      </w:tr>
      <w:tr w:rsidR="007E5C22" w:rsidRPr="00DA1EB3" w14:paraId="7E5D4241"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6B907416"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213</w:t>
            </w:r>
          </w:p>
        </w:tc>
        <w:tc>
          <w:tcPr>
            <w:tcW w:w="7068" w:type="dxa"/>
            <w:vAlign w:val="center"/>
            <w:hideMark/>
          </w:tcPr>
          <w:p w14:paraId="1FC25C57"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Hojancha</w:t>
            </w:r>
          </w:p>
        </w:tc>
      </w:tr>
      <w:tr w:rsidR="007E5C22" w:rsidRPr="00DA1EB3" w14:paraId="429574E2"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5AC3B0D9"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214</w:t>
            </w:r>
          </w:p>
        </w:tc>
        <w:tc>
          <w:tcPr>
            <w:tcW w:w="7068" w:type="dxa"/>
            <w:vAlign w:val="center"/>
            <w:hideMark/>
          </w:tcPr>
          <w:p w14:paraId="20644AC7"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Jiménez</w:t>
            </w:r>
          </w:p>
        </w:tc>
      </w:tr>
      <w:tr w:rsidR="007E5C22" w:rsidRPr="00DA1EB3" w14:paraId="60B3FDEE"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7AB1CB9A"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215</w:t>
            </w:r>
          </w:p>
        </w:tc>
        <w:tc>
          <w:tcPr>
            <w:tcW w:w="7068" w:type="dxa"/>
            <w:vAlign w:val="center"/>
            <w:hideMark/>
          </w:tcPr>
          <w:p w14:paraId="11DCDA6B"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La Cruz</w:t>
            </w:r>
          </w:p>
        </w:tc>
      </w:tr>
      <w:tr w:rsidR="007E5C22" w:rsidRPr="00DA1EB3" w14:paraId="19429597"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7421831A"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216</w:t>
            </w:r>
          </w:p>
        </w:tc>
        <w:tc>
          <w:tcPr>
            <w:tcW w:w="7068" w:type="dxa"/>
            <w:vAlign w:val="center"/>
            <w:hideMark/>
          </w:tcPr>
          <w:p w14:paraId="44AF6F03"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La Unión</w:t>
            </w:r>
          </w:p>
        </w:tc>
      </w:tr>
      <w:tr w:rsidR="007E5C22" w:rsidRPr="00DA1EB3" w14:paraId="13730F45"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2A7190FB"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217</w:t>
            </w:r>
          </w:p>
        </w:tc>
        <w:tc>
          <w:tcPr>
            <w:tcW w:w="7068" w:type="dxa"/>
            <w:vAlign w:val="center"/>
            <w:hideMark/>
          </w:tcPr>
          <w:p w14:paraId="61D3BFD4"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León Cortés</w:t>
            </w:r>
          </w:p>
        </w:tc>
      </w:tr>
      <w:tr w:rsidR="007E5C22" w:rsidRPr="00DA1EB3" w14:paraId="2ABC712D"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401D8915"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218</w:t>
            </w:r>
          </w:p>
        </w:tc>
        <w:tc>
          <w:tcPr>
            <w:tcW w:w="7068" w:type="dxa"/>
            <w:vAlign w:val="center"/>
            <w:hideMark/>
          </w:tcPr>
          <w:p w14:paraId="4820BB40"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Liberia</w:t>
            </w:r>
          </w:p>
        </w:tc>
      </w:tr>
      <w:tr w:rsidR="007E5C22" w:rsidRPr="00DA1EB3" w14:paraId="0DD98249"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1A4E868B"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219</w:t>
            </w:r>
          </w:p>
        </w:tc>
        <w:tc>
          <w:tcPr>
            <w:tcW w:w="7068" w:type="dxa"/>
            <w:vAlign w:val="center"/>
            <w:hideMark/>
          </w:tcPr>
          <w:p w14:paraId="518C4901"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Limón</w:t>
            </w:r>
          </w:p>
        </w:tc>
      </w:tr>
      <w:tr w:rsidR="007E5C22" w:rsidRPr="00DA1EB3" w14:paraId="44B93DDC"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6C67D29B"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220</w:t>
            </w:r>
          </w:p>
        </w:tc>
        <w:tc>
          <w:tcPr>
            <w:tcW w:w="7068" w:type="dxa"/>
            <w:vAlign w:val="center"/>
            <w:hideMark/>
          </w:tcPr>
          <w:p w14:paraId="660764F7"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Los Chiles</w:t>
            </w:r>
          </w:p>
        </w:tc>
      </w:tr>
      <w:tr w:rsidR="007E5C22" w:rsidRPr="00DA1EB3" w14:paraId="2CBEA4B5"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1186EA81"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221</w:t>
            </w:r>
          </w:p>
        </w:tc>
        <w:tc>
          <w:tcPr>
            <w:tcW w:w="7068" w:type="dxa"/>
            <w:vAlign w:val="center"/>
            <w:hideMark/>
          </w:tcPr>
          <w:p w14:paraId="7FDF1892"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Matina</w:t>
            </w:r>
          </w:p>
        </w:tc>
      </w:tr>
      <w:tr w:rsidR="007E5C22" w:rsidRPr="00DA1EB3" w14:paraId="4C5498D5"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28C17D69"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222</w:t>
            </w:r>
          </w:p>
        </w:tc>
        <w:tc>
          <w:tcPr>
            <w:tcW w:w="7068" w:type="dxa"/>
            <w:vAlign w:val="center"/>
            <w:hideMark/>
          </w:tcPr>
          <w:p w14:paraId="21F4EDD4"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Montes de oca</w:t>
            </w:r>
          </w:p>
        </w:tc>
      </w:tr>
      <w:tr w:rsidR="007E5C22" w:rsidRPr="00DA1EB3" w14:paraId="7B8F36EE"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647813C5"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223</w:t>
            </w:r>
          </w:p>
        </w:tc>
        <w:tc>
          <w:tcPr>
            <w:tcW w:w="7068" w:type="dxa"/>
            <w:vAlign w:val="center"/>
            <w:hideMark/>
          </w:tcPr>
          <w:p w14:paraId="6D9B5816"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Montes de oro</w:t>
            </w:r>
          </w:p>
        </w:tc>
      </w:tr>
      <w:tr w:rsidR="007E5C22" w:rsidRPr="00DA1EB3" w14:paraId="4F42E057"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403B3AE0"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224</w:t>
            </w:r>
          </w:p>
        </w:tc>
        <w:tc>
          <w:tcPr>
            <w:tcW w:w="7068" w:type="dxa"/>
            <w:vAlign w:val="center"/>
            <w:hideMark/>
          </w:tcPr>
          <w:p w14:paraId="3B4E8B4D"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Mora</w:t>
            </w:r>
          </w:p>
        </w:tc>
      </w:tr>
      <w:tr w:rsidR="007E5C22" w:rsidRPr="00DA1EB3" w14:paraId="6847D2F8"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53A53B80"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225</w:t>
            </w:r>
          </w:p>
        </w:tc>
        <w:tc>
          <w:tcPr>
            <w:tcW w:w="7068" w:type="dxa"/>
            <w:vAlign w:val="center"/>
            <w:hideMark/>
          </w:tcPr>
          <w:p w14:paraId="04E88BCC"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Moravia</w:t>
            </w:r>
          </w:p>
        </w:tc>
      </w:tr>
      <w:tr w:rsidR="007E5C22" w:rsidRPr="00DA1EB3" w14:paraId="7A076975"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26756756"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226</w:t>
            </w:r>
          </w:p>
        </w:tc>
        <w:tc>
          <w:tcPr>
            <w:tcW w:w="7068" w:type="dxa"/>
            <w:vAlign w:val="center"/>
            <w:hideMark/>
          </w:tcPr>
          <w:p w14:paraId="010A0FA9"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Nandayure</w:t>
            </w:r>
          </w:p>
        </w:tc>
      </w:tr>
      <w:tr w:rsidR="007E5C22" w:rsidRPr="00DA1EB3" w14:paraId="25CAC482"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0965AE03"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lastRenderedPageBreak/>
              <w:t>227</w:t>
            </w:r>
          </w:p>
        </w:tc>
        <w:tc>
          <w:tcPr>
            <w:tcW w:w="7068" w:type="dxa"/>
            <w:vAlign w:val="center"/>
            <w:hideMark/>
          </w:tcPr>
          <w:p w14:paraId="1CD15586"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Naranjo</w:t>
            </w:r>
          </w:p>
        </w:tc>
      </w:tr>
      <w:tr w:rsidR="007E5C22" w:rsidRPr="00DA1EB3" w14:paraId="6710238A"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6EE165FF"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228</w:t>
            </w:r>
          </w:p>
        </w:tc>
        <w:tc>
          <w:tcPr>
            <w:tcW w:w="7068" w:type="dxa"/>
            <w:vAlign w:val="center"/>
            <w:hideMark/>
          </w:tcPr>
          <w:p w14:paraId="5812DF5F"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Nicoya</w:t>
            </w:r>
          </w:p>
        </w:tc>
      </w:tr>
      <w:tr w:rsidR="007E5C22" w:rsidRPr="00DA1EB3" w14:paraId="4B04A602"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713051C7"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229</w:t>
            </w:r>
          </w:p>
        </w:tc>
        <w:tc>
          <w:tcPr>
            <w:tcW w:w="7068" w:type="dxa"/>
            <w:vAlign w:val="center"/>
            <w:hideMark/>
          </w:tcPr>
          <w:p w14:paraId="65BE27AB"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Oreamuno</w:t>
            </w:r>
          </w:p>
        </w:tc>
      </w:tr>
      <w:tr w:rsidR="007E5C22" w:rsidRPr="00DA1EB3" w14:paraId="1B13073F"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0C61813B"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230</w:t>
            </w:r>
          </w:p>
        </w:tc>
        <w:tc>
          <w:tcPr>
            <w:tcW w:w="7068" w:type="dxa"/>
            <w:vAlign w:val="center"/>
            <w:hideMark/>
          </w:tcPr>
          <w:p w14:paraId="13A77A7F"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Orotina</w:t>
            </w:r>
          </w:p>
        </w:tc>
      </w:tr>
      <w:tr w:rsidR="007E5C22" w:rsidRPr="00DA1EB3" w14:paraId="3C3F866F"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4409BCB3"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231</w:t>
            </w:r>
          </w:p>
        </w:tc>
        <w:tc>
          <w:tcPr>
            <w:tcW w:w="7068" w:type="dxa"/>
            <w:vAlign w:val="center"/>
            <w:hideMark/>
          </w:tcPr>
          <w:p w14:paraId="4498FD70"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Osa</w:t>
            </w:r>
          </w:p>
        </w:tc>
      </w:tr>
      <w:tr w:rsidR="007E5C22" w:rsidRPr="00DA1EB3" w14:paraId="1C6C1F87"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6C151482"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232</w:t>
            </w:r>
          </w:p>
        </w:tc>
        <w:tc>
          <w:tcPr>
            <w:tcW w:w="7068" w:type="dxa"/>
            <w:vAlign w:val="center"/>
            <w:hideMark/>
          </w:tcPr>
          <w:p w14:paraId="7FC0A44D"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Palmares</w:t>
            </w:r>
          </w:p>
        </w:tc>
      </w:tr>
      <w:tr w:rsidR="007E5C22" w:rsidRPr="00DA1EB3" w14:paraId="00980806"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7B0233C3"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233</w:t>
            </w:r>
          </w:p>
        </w:tc>
        <w:tc>
          <w:tcPr>
            <w:tcW w:w="7068" w:type="dxa"/>
            <w:vAlign w:val="center"/>
            <w:hideMark/>
          </w:tcPr>
          <w:p w14:paraId="1E88C91C"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Paraíso</w:t>
            </w:r>
          </w:p>
        </w:tc>
      </w:tr>
      <w:tr w:rsidR="007E5C22" w:rsidRPr="00DA1EB3" w14:paraId="44235BCA"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63788147"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234</w:t>
            </w:r>
          </w:p>
        </w:tc>
        <w:tc>
          <w:tcPr>
            <w:tcW w:w="7068" w:type="dxa"/>
            <w:vAlign w:val="center"/>
            <w:hideMark/>
          </w:tcPr>
          <w:p w14:paraId="21047C5A"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Parrita</w:t>
            </w:r>
          </w:p>
        </w:tc>
      </w:tr>
      <w:tr w:rsidR="007E5C22" w:rsidRPr="00DA1EB3" w14:paraId="49EFFE07"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1B853F15"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235</w:t>
            </w:r>
          </w:p>
        </w:tc>
        <w:tc>
          <w:tcPr>
            <w:tcW w:w="7068" w:type="dxa"/>
            <w:vAlign w:val="center"/>
            <w:hideMark/>
          </w:tcPr>
          <w:p w14:paraId="61D1D547"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Pérez Zeledón</w:t>
            </w:r>
          </w:p>
        </w:tc>
      </w:tr>
      <w:tr w:rsidR="007E5C22" w:rsidRPr="00DA1EB3" w14:paraId="2B3869BA"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16F12857"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236</w:t>
            </w:r>
          </w:p>
        </w:tc>
        <w:tc>
          <w:tcPr>
            <w:tcW w:w="7068" w:type="dxa"/>
            <w:vAlign w:val="center"/>
            <w:hideMark/>
          </w:tcPr>
          <w:p w14:paraId="3CA54442"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Poás</w:t>
            </w:r>
          </w:p>
        </w:tc>
      </w:tr>
      <w:tr w:rsidR="007E5C22" w:rsidRPr="00DA1EB3" w14:paraId="7E43E6C8"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2E3CBE91"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237</w:t>
            </w:r>
          </w:p>
        </w:tc>
        <w:tc>
          <w:tcPr>
            <w:tcW w:w="7068" w:type="dxa"/>
            <w:vAlign w:val="center"/>
            <w:hideMark/>
          </w:tcPr>
          <w:p w14:paraId="6B678AC7"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Pococí</w:t>
            </w:r>
          </w:p>
        </w:tc>
      </w:tr>
      <w:tr w:rsidR="007E5C22" w:rsidRPr="00DA1EB3" w14:paraId="01A6C4D9"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0DF9757B"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238</w:t>
            </w:r>
          </w:p>
        </w:tc>
        <w:tc>
          <w:tcPr>
            <w:tcW w:w="7068" w:type="dxa"/>
            <w:vAlign w:val="center"/>
            <w:hideMark/>
          </w:tcPr>
          <w:p w14:paraId="361C95AC"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Puntarenas</w:t>
            </w:r>
          </w:p>
        </w:tc>
      </w:tr>
      <w:tr w:rsidR="007E5C22" w:rsidRPr="00DA1EB3" w14:paraId="7BE39F49"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75DA78BE"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239</w:t>
            </w:r>
          </w:p>
        </w:tc>
        <w:tc>
          <w:tcPr>
            <w:tcW w:w="7068" w:type="dxa"/>
            <w:vAlign w:val="center"/>
            <w:hideMark/>
          </w:tcPr>
          <w:p w14:paraId="59570EE7"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Puriscal</w:t>
            </w:r>
          </w:p>
        </w:tc>
      </w:tr>
      <w:tr w:rsidR="007E5C22" w:rsidRPr="00DA1EB3" w14:paraId="7B05DFD5"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6662BEE2"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240</w:t>
            </w:r>
          </w:p>
        </w:tc>
        <w:tc>
          <w:tcPr>
            <w:tcW w:w="7068" w:type="dxa"/>
            <w:vAlign w:val="center"/>
            <w:hideMark/>
          </w:tcPr>
          <w:p w14:paraId="7541DE9B"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Quepos</w:t>
            </w:r>
          </w:p>
        </w:tc>
      </w:tr>
      <w:tr w:rsidR="007E5C22" w:rsidRPr="00DA1EB3" w14:paraId="438AD7FC"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2B68F494"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241</w:t>
            </w:r>
          </w:p>
        </w:tc>
        <w:tc>
          <w:tcPr>
            <w:tcW w:w="7068" w:type="dxa"/>
            <w:vAlign w:val="center"/>
            <w:hideMark/>
          </w:tcPr>
          <w:p w14:paraId="747B9187"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Río Cuarto</w:t>
            </w:r>
          </w:p>
        </w:tc>
      </w:tr>
      <w:tr w:rsidR="007E5C22" w:rsidRPr="00DA1EB3" w14:paraId="1E1ED49D"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408CC6C6"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242</w:t>
            </w:r>
          </w:p>
        </w:tc>
        <w:tc>
          <w:tcPr>
            <w:tcW w:w="7068" w:type="dxa"/>
            <w:vAlign w:val="center"/>
            <w:hideMark/>
          </w:tcPr>
          <w:p w14:paraId="73B266CE"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San Carlos</w:t>
            </w:r>
          </w:p>
        </w:tc>
      </w:tr>
      <w:tr w:rsidR="007E5C22" w:rsidRPr="00DA1EB3" w14:paraId="284DF496"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1FCF548B"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243</w:t>
            </w:r>
          </w:p>
        </w:tc>
        <w:tc>
          <w:tcPr>
            <w:tcW w:w="7068" w:type="dxa"/>
            <w:vAlign w:val="center"/>
            <w:hideMark/>
          </w:tcPr>
          <w:p w14:paraId="6FEB133D"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San Isidro</w:t>
            </w:r>
          </w:p>
        </w:tc>
      </w:tr>
      <w:tr w:rsidR="007E5C22" w:rsidRPr="00DA1EB3" w14:paraId="55E248AA"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51ACE7D9"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244</w:t>
            </w:r>
          </w:p>
        </w:tc>
        <w:tc>
          <w:tcPr>
            <w:tcW w:w="7068" w:type="dxa"/>
            <w:vAlign w:val="center"/>
            <w:hideMark/>
          </w:tcPr>
          <w:p w14:paraId="71474300"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San José</w:t>
            </w:r>
          </w:p>
        </w:tc>
      </w:tr>
      <w:tr w:rsidR="007E5C22" w:rsidRPr="00DA1EB3" w14:paraId="1607322C"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650A90BA"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245</w:t>
            </w:r>
          </w:p>
        </w:tc>
        <w:tc>
          <w:tcPr>
            <w:tcW w:w="7068" w:type="dxa"/>
            <w:vAlign w:val="center"/>
            <w:hideMark/>
          </w:tcPr>
          <w:p w14:paraId="615F09C8"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San Mateo</w:t>
            </w:r>
          </w:p>
        </w:tc>
      </w:tr>
      <w:tr w:rsidR="007E5C22" w:rsidRPr="00DA1EB3" w14:paraId="36787144"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2D1C86C5"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246</w:t>
            </w:r>
          </w:p>
        </w:tc>
        <w:tc>
          <w:tcPr>
            <w:tcW w:w="7068" w:type="dxa"/>
            <w:vAlign w:val="center"/>
            <w:hideMark/>
          </w:tcPr>
          <w:p w14:paraId="3A6B03AA"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San Pablo</w:t>
            </w:r>
          </w:p>
        </w:tc>
      </w:tr>
      <w:tr w:rsidR="007E5C22" w:rsidRPr="00DA1EB3" w14:paraId="2771BAA3"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459E15BE"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247</w:t>
            </w:r>
          </w:p>
        </w:tc>
        <w:tc>
          <w:tcPr>
            <w:tcW w:w="7068" w:type="dxa"/>
            <w:vAlign w:val="center"/>
            <w:hideMark/>
          </w:tcPr>
          <w:p w14:paraId="5CB50445"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San Rafael</w:t>
            </w:r>
          </w:p>
        </w:tc>
      </w:tr>
      <w:tr w:rsidR="007E5C22" w:rsidRPr="00DA1EB3" w14:paraId="6BE58EEE"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5111C473"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248</w:t>
            </w:r>
          </w:p>
        </w:tc>
        <w:tc>
          <w:tcPr>
            <w:tcW w:w="7068" w:type="dxa"/>
            <w:vAlign w:val="center"/>
            <w:hideMark/>
          </w:tcPr>
          <w:p w14:paraId="31AA4353"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San Ramón</w:t>
            </w:r>
          </w:p>
        </w:tc>
      </w:tr>
      <w:tr w:rsidR="007E5C22" w:rsidRPr="00DA1EB3" w14:paraId="55F52F90"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60A9411C"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249</w:t>
            </w:r>
          </w:p>
        </w:tc>
        <w:tc>
          <w:tcPr>
            <w:tcW w:w="7068" w:type="dxa"/>
            <w:vAlign w:val="center"/>
            <w:hideMark/>
          </w:tcPr>
          <w:p w14:paraId="5833CABA"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Santa Ana</w:t>
            </w:r>
          </w:p>
        </w:tc>
      </w:tr>
      <w:tr w:rsidR="007E5C22" w:rsidRPr="00DA1EB3" w14:paraId="7C1C1331"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3A2E9A07"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250</w:t>
            </w:r>
          </w:p>
        </w:tc>
        <w:tc>
          <w:tcPr>
            <w:tcW w:w="7068" w:type="dxa"/>
            <w:vAlign w:val="center"/>
            <w:hideMark/>
          </w:tcPr>
          <w:p w14:paraId="28D7DBE8"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Santa Bárbara</w:t>
            </w:r>
          </w:p>
        </w:tc>
      </w:tr>
      <w:tr w:rsidR="007E5C22" w:rsidRPr="00DA1EB3" w14:paraId="7562EF0C"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5C193CAE"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251</w:t>
            </w:r>
          </w:p>
        </w:tc>
        <w:tc>
          <w:tcPr>
            <w:tcW w:w="7068" w:type="dxa"/>
            <w:vAlign w:val="center"/>
            <w:hideMark/>
          </w:tcPr>
          <w:p w14:paraId="4F39BF0B"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Santa Cruz</w:t>
            </w:r>
          </w:p>
        </w:tc>
      </w:tr>
      <w:tr w:rsidR="007E5C22" w:rsidRPr="00DA1EB3" w14:paraId="7A4ECAC6"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6F798855"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252</w:t>
            </w:r>
          </w:p>
        </w:tc>
        <w:tc>
          <w:tcPr>
            <w:tcW w:w="7068" w:type="dxa"/>
            <w:vAlign w:val="center"/>
            <w:hideMark/>
          </w:tcPr>
          <w:p w14:paraId="24701127"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Santo Domingo</w:t>
            </w:r>
          </w:p>
        </w:tc>
      </w:tr>
      <w:tr w:rsidR="007E5C22" w:rsidRPr="00DA1EB3" w14:paraId="441A8FE4"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3BC60451"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253</w:t>
            </w:r>
          </w:p>
        </w:tc>
        <w:tc>
          <w:tcPr>
            <w:tcW w:w="7068" w:type="dxa"/>
            <w:vAlign w:val="center"/>
            <w:hideMark/>
          </w:tcPr>
          <w:p w14:paraId="36A070F7"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Sarapiquí</w:t>
            </w:r>
          </w:p>
        </w:tc>
      </w:tr>
      <w:tr w:rsidR="007E5C22" w:rsidRPr="00DA1EB3" w14:paraId="56DFC5BD"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4A0F07B4"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254</w:t>
            </w:r>
          </w:p>
        </w:tc>
        <w:tc>
          <w:tcPr>
            <w:tcW w:w="7068" w:type="dxa"/>
            <w:vAlign w:val="center"/>
            <w:hideMark/>
          </w:tcPr>
          <w:p w14:paraId="3DA7511E"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Sarchí</w:t>
            </w:r>
          </w:p>
        </w:tc>
      </w:tr>
      <w:tr w:rsidR="007E5C22" w:rsidRPr="00DA1EB3" w14:paraId="31CEC04B"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61B1B555"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255</w:t>
            </w:r>
          </w:p>
        </w:tc>
        <w:tc>
          <w:tcPr>
            <w:tcW w:w="7068" w:type="dxa"/>
            <w:vAlign w:val="center"/>
            <w:hideMark/>
          </w:tcPr>
          <w:p w14:paraId="79865744"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Siquirres</w:t>
            </w:r>
          </w:p>
        </w:tc>
      </w:tr>
      <w:tr w:rsidR="007E5C22" w:rsidRPr="00DA1EB3" w14:paraId="4F87E7B4"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63B3C8FF"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256</w:t>
            </w:r>
          </w:p>
        </w:tc>
        <w:tc>
          <w:tcPr>
            <w:tcW w:w="7068" w:type="dxa"/>
            <w:vAlign w:val="center"/>
            <w:hideMark/>
          </w:tcPr>
          <w:p w14:paraId="0332D0FB"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Talamanca</w:t>
            </w:r>
          </w:p>
        </w:tc>
      </w:tr>
      <w:tr w:rsidR="007E5C22" w:rsidRPr="00DA1EB3" w14:paraId="5C1B9242"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2BD0B8EA"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257</w:t>
            </w:r>
          </w:p>
        </w:tc>
        <w:tc>
          <w:tcPr>
            <w:tcW w:w="7068" w:type="dxa"/>
            <w:vAlign w:val="center"/>
            <w:hideMark/>
          </w:tcPr>
          <w:p w14:paraId="0152AF4B"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Tarrazú</w:t>
            </w:r>
          </w:p>
        </w:tc>
      </w:tr>
      <w:tr w:rsidR="007E5C22" w:rsidRPr="00DA1EB3" w14:paraId="60A6E9C3"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28C6C8CB"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258</w:t>
            </w:r>
          </w:p>
        </w:tc>
        <w:tc>
          <w:tcPr>
            <w:tcW w:w="7068" w:type="dxa"/>
            <w:vAlign w:val="center"/>
            <w:hideMark/>
          </w:tcPr>
          <w:p w14:paraId="6D11D861"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Tibás</w:t>
            </w:r>
          </w:p>
        </w:tc>
      </w:tr>
      <w:tr w:rsidR="007E5C22" w:rsidRPr="00DA1EB3" w14:paraId="0AC6F4C7"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7E62C6A9"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259</w:t>
            </w:r>
          </w:p>
        </w:tc>
        <w:tc>
          <w:tcPr>
            <w:tcW w:w="7068" w:type="dxa"/>
            <w:vAlign w:val="center"/>
            <w:hideMark/>
          </w:tcPr>
          <w:p w14:paraId="2E6C4605"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Tilarán</w:t>
            </w:r>
          </w:p>
        </w:tc>
      </w:tr>
      <w:tr w:rsidR="007E5C22" w:rsidRPr="00DA1EB3" w14:paraId="7A64AEC8"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0DA92A4C"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260</w:t>
            </w:r>
          </w:p>
        </w:tc>
        <w:tc>
          <w:tcPr>
            <w:tcW w:w="7068" w:type="dxa"/>
            <w:vAlign w:val="center"/>
            <w:hideMark/>
          </w:tcPr>
          <w:p w14:paraId="2DC85B56"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Turrialba</w:t>
            </w:r>
          </w:p>
        </w:tc>
      </w:tr>
      <w:tr w:rsidR="007E5C22" w:rsidRPr="00DA1EB3" w14:paraId="2159009A"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039225DF"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261</w:t>
            </w:r>
          </w:p>
        </w:tc>
        <w:tc>
          <w:tcPr>
            <w:tcW w:w="7068" w:type="dxa"/>
            <w:vAlign w:val="center"/>
            <w:hideMark/>
          </w:tcPr>
          <w:p w14:paraId="18C38F31"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Turrubares</w:t>
            </w:r>
          </w:p>
        </w:tc>
      </w:tr>
      <w:tr w:rsidR="007E5C22" w:rsidRPr="00DA1EB3" w14:paraId="52546146"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6E78D774"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262</w:t>
            </w:r>
          </w:p>
        </w:tc>
        <w:tc>
          <w:tcPr>
            <w:tcW w:w="7068" w:type="dxa"/>
            <w:vAlign w:val="center"/>
            <w:hideMark/>
          </w:tcPr>
          <w:p w14:paraId="2CEE703B"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Upala</w:t>
            </w:r>
          </w:p>
        </w:tc>
      </w:tr>
      <w:tr w:rsidR="007E5C22" w:rsidRPr="00DA1EB3" w14:paraId="5283D1F7"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0A248C1B"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263</w:t>
            </w:r>
          </w:p>
        </w:tc>
        <w:tc>
          <w:tcPr>
            <w:tcW w:w="7068" w:type="dxa"/>
            <w:vAlign w:val="center"/>
            <w:hideMark/>
          </w:tcPr>
          <w:p w14:paraId="371F9AD6"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Vázquez de Coronado</w:t>
            </w:r>
          </w:p>
        </w:tc>
      </w:tr>
      <w:tr w:rsidR="007E5C22" w:rsidRPr="00DA1EB3" w14:paraId="16776816"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261AE2D9"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264</w:t>
            </w:r>
          </w:p>
        </w:tc>
        <w:tc>
          <w:tcPr>
            <w:tcW w:w="7068" w:type="dxa"/>
            <w:vAlign w:val="center"/>
            <w:hideMark/>
          </w:tcPr>
          <w:p w14:paraId="707D6ACF"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Municipalidad de Zarcero</w:t>
            </w:r>
          </w:p>
        </w:tc>
      </w:tr>
      <w:tr w:rsidR="007E5C22" w:rsidRPr="00DA1EB3" w14:paraId="21DBCDC0"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7DE0C238"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265</w:t>
            </w:r>
          </w:p>
        </w:tc>
        <w:tc>
          <w:tcPr>
            <w:tcW w:w="7068" w:type="dxa"/>
            <w:vAlign w:val="center"/>
            <w:hideMark/>
          </w:tcPr>
          <w:p w14:paraId="3287E152"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Museo de Arte Costarricense</w:t>
            </w:r>
          </w:p>
        </w:tc>
      </w:tr>
      <w:tr w:rsidR="007E5C22" w:rsidRPr="00DA1EB3" w14:paraId="388A73A6"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0870F2C1"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266</w:t>
            </w:r>
          </w:p>
        </w:tc>
        <w:tc>
          <w:tcPr>
            <w:tcW w:w="7068" w:type="dxa"/>
            <w:vAlign w:val="center"/>
            <w:hideMark/>
          </w:tcPr>
          <w:p w14:paraId="701D8BD6"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Museo de Arte y Diseño Contemporáneo</w:t>
            </w:r>
          </w:p>
        </w:tc>
      </w:tr>
      <w:tr w:rsidR="007E5C22" w:rsidRPr="00DA1EB3" w14:paraId="7806A10B"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32837827"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267</w:t>
            </w:r>
          </w:p>
        </w:tc>
        <w:tc>
          <w:tcPr>
            <w:tcW w:w="7068" w:type="dxa"/>
            <w:vAlign w:val="center"/>
            <w:hideMark/>
          </w:tcPr>
          <w:p w14:paraId="78A549A1"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Museo Dr. Rafael Ángel Calderón Guardia</w:t>
            </w:r>
          </w:p>
        </w:tc>
      </w:tr>
      <w:tr w:rsidR="007E5C22" w:rsidRPr="00DA1EB3" w14:paraId="5E719D3F"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315D1111"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268</w:t>
            </w:r>
          </w:p>
        </w:tc>
        <w:tc>
          <w:tcPr>
            <w:tcW w:w="7068" w:type="dxa"/>
            <w:vAlign w:val="center"/>
            <w:hideMark/>
          </w:tcPr>
          <w:p w14:paraId="5A648C92"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Museo Histórico Cultural Juan Santamaría</w:t>
            </w:r>
          </w:p>
        </w:tc>
      </w:tr>
      <w:tr w:rsidR="007E5C22" w:rsidRPr="00DA1EB3" w14:paraId="6C0E973A"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47AA5C6B"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269</w:t>
            </w:r>
          </w:p>
        </w:tc>
        <w:tc>
          <w:tcPr>
            <w:tcW w:w="7068" w:type="dxa"/>
            <w:vAlign w:val="center"/>
            <w:hideMark/>
          </w:tcPr>
          <w:p w14:paraId="6DA8493D"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Museo Histórico Cultural Juan Santamaría</w:t>
            </w:r>
          </w:p>
        </w:tc>
      </w:tr>
      <w:tr w:rsidR="007E5C22" w:rsidRPr="00DA1EB3" w14:paraId="2A93AB1C"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06CC85D5"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270</w:t>
            </w:r>
          </w:p>
        </w:tc>
        <w:tc>
          <w:tcPr>
            <w:tcW w:w="7068" w:type="dxa"/>
            <w:vAlign w:val="center"/>
            <w:hideMark/>
          </w:tcPr>
          <w:p w14:paraId="6F36F64C"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Museo Nacional de Costa Rica</w:t>
            </w:r>
          </w:p>
        </w:tc>
      </w:tr>
      <w:tr w:rsidR="007E5C22" w:rsidRPr="00DA1EB3" w14:paraId="31979760"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7E18216B"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271</w:t>
            </w:r>
          </w:p>
        </w:tc>
        <w:tc>
          <w:tcPr>
            <w:tcW w:w="7068" w:type="dxa"/>
            <w:vAlign w:val="center"/>
            <w:hideMark/>
          </w:tcPr>
          <w:p w14:paraId="7EC6F450"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Oficina de Cooperación Internacional de la Salud (OCIS)</w:t>
            </w:r>
          </w:p>
        </w:tc>
      </w:tr>
      <w:tr w:rsidR="007E5C22" w:rsidRPr="00DA1EB3" w14:paraId="1A19910E" w14:textId="77777777" w:rsidTr="00345DAA">
        <w:trPr>
          <w:trHeight w:val="6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1F971086"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lastRenderedPageBreak/>
              <w:t>272</w:t>
            </w:r>
          </w:p>
        </w:tc>
        <w:tc>
          <w:tcPr>
            <w:tcW w:w="7068" w:type="dxa"/>
            <w:vAlign w:val="center"/>
            <w:hideMark/>
          </w:tcPr>
          <w:p w14:paraId="0161A592"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Oficina Ejecutora del Proyecto Turístico Golfo de Papagayo (al ICT)</w:t>
            </w:r>
          </w:p>
        </w:tc>
      </w:tr>
      <w:tr w:rsidR="007E5C22" w:rsidRPr="00DA1EB3" w14:paraId="02697298"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61DE96B5"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273</w:t>
            </w:r>
          </w:p>
        </w:tc>
        <w:tc>
          <w:tcPr>
            <w:tcW w:w="7068" w:type="dxa"/>
            <w:vAlign w:val="center"/>
            <w:hideMark/>
          </w:tcPr>
          <w:p w14:paraId="3348942E"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Oficina Nacional de Semillas (ONS)</w:t>
            </w:r>
          </w:p>
        </w:tc>
      </w:tr>
      <w:tr w:rsidR="007E5C22" w:rsidRPr="00DA1EB3" w14:paraId="47F34C2B"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225DE871"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274</w:t>
            </w:r>
          </w:p>
        </w:tc>
        <w:tc>
          <w:tcPr>
            <w:tcW w:w="7068" w:type="dxa"/>
            <w:vAlign w:val="center"/>
            <w:hideMark/>
          </w:tcPr>
          <w:p w14:paraId="07AB0BE0"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Oficina Nacional Forestal</w:t>
            </w:r>
          </w:p>
        </w:tc>
      </w:tr>
      <w:tr w:rsidR="007E5C22" w:rsidRPr="00DA1EB3" w14:paraId="5DB4A55D" w14:textId="77777777" w:rsidTr="00345DA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5BBDE583"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275</w:t>
            </w:r>
          </w:p>
        </w:tc>
        <w:tc>
          <w:tcPr>
            <w:tcW w:w="7068" w:type="dxa"/>
            <w:vAlign w:val="center"/>
            <w:hideMark/>
          </w:tcPr>
          <w:p w14:paraId="1F1AAEE7"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Operadora de Pensiones Complementaria y de Capitalización Laboral de la Caja</w:t>
            </w:r>
          </w:p>
        </w:tc>
      </w:tr>
      <w:tr w:rsidR="007E5C22" w:rsidRPr="00DA1EB3" w14:paraId="2FF719C1" w14:textId="77777777" w:rsidTr="00345DAA">
        <w:trPr>
          <w:trHeight w:val="6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7638CBA1"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276</w:t>
            </w:r>
          </w:p>
        </w:tc>
        <w:tc>
          <w:tcPr>
            <w:tcW w:w="7068" w:type="dxa"/>
            <w:vAlign w:val="center"/>
            <w:hideMark/>
          </w:tcPr>
          <w:p w14:paraId="7BE8E070" w14:textId="732EC67A"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Operadora de Planes de Pensiones Complementarias del Banco Popular y de Desarrollo Comunal S.A.</w:t>
            </w:r>
          </w:p>
        </w:tc>
      </w:tr>
      <w:tr w:rsidR="007E5C22" w:rsidRPr="00DA1EB3" w14:paraId="15EE48FD"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35A3DEB3"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277</w:t>
            </w:r>
          </w:p>
        </w:tc>
        <w:tc>
          <w:tcPr>
            <w:tcW w:w="7068" w:type="dxa"/>
            <w:vAlign w:val="center"/>
            <w:hideMark/>
          </w:tcPr>
          <w:p w14:paraId="6AA34DD8"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Órgano de Normalización Técnica (ONT)</w:t>
            </w:r>
          </w:p>
        </w:tc>
      </w:tr>
      <w:tr w:rsidR="007E5C22" w:rsidRPr="00DA1EB3" w14:paraId="44A9EA4B"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7172CC80"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278</w:t>
            </w:r>
          </w:p>
        </w:tc>
        <w:tc>
          <w:tcPr>
            <w:tcW w:w="7068" w:type="dxa"/>
            <w:vAlign w:val="center"/>
            <w:hideMark/>
          </w:tcPr>
          <w:p w14:paraId="5C1C4C59"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Parque Marino del Pacífico</w:t>
            </w:r>
          </w:p>
        </w:tc>
      </w:tr>
      <w:tr w:rsidR="007E5C22" w:rsidRPr="00DA1EB3" w14:paraId="5B1A89F8"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458E11AB"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279</w:t>
            </w:r>
          </w:p>
        </w:tc>
        <w:tc>
          <w:tcPr>
            <w:tcW w:w="7068" w:type="dxa"/>
            <w:vAlign w:val="center"/>
            <w:hideMark/>
          </w:tcPr>
          <w:p w14:paraId="76489F77"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Patronato Nacional de Ciegos (PANACI)</w:t>
            </w:r>
          </w:p>
        </w:tc>
      </w:tr>
      <w:tr w:rsidR="007E5C22" w:rsidRPr="00DA1EB3" w14:paraId="1C4A4A6B"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242BE51C"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280</w:t>
            </w:r>
          </w:p>
        </w:tc>
        <w:tc>
          <w:tcPr>
            <w:tcW w:w="7068" w:type="dxa"/>
            <w:vAlign w:val="center"/>
            <w:hideMark/>
          </w:tcPr>
          <w:p w14:paraId="430119DF"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Patronato Nacional de Infancia (PANI)</w:t>
            </w:r>
          </w:p>
        </w:tc>
      </w:tr>
      <w:tr w:rsidR="007E5C22" w:rsidRPr="00DA1EB3" w14:paraId="1918C317"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6915AC82"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281</w:t>
            </w:r>
          </w:p>
        </w:tc>
        <w:tc>
          <w:tcPr>
            <w:tcW w:w="7068" w:type="dxa"/>
            <w:vAlign w:val="center"/>
            <w:hideMark/>
          </w:tcPr>
          <w:p w14:paraId="7F87D58F"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Patronato Nacional de Rehabilitación (PANARE)</w:t>
            </w:r>
          </w:p>
        </w:tc>
      </w:tr>
      <w:tr w:rsidR="007E5C22" w:rsidRPr="00DA1EB3" w14:paraId="10332280"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660111CF"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282</w:t>
            </w:r>
          </w:p>
        </w:tc>
        <w:tc>
          <w:tcPr>
            <w:tcW w:w="7068" w:type="dxa"/>
            <w:vAlign w:val="center"/>
            <w:hideMark/>
          </w:tcPr>
          <w:p w14:paraId="521524D7"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Poder Judicial</w:t>
            </w:r>
          </w:p>
        </w:tc>
      </w:tr>
      <w:tr w:rsidR="007E5C22" w:rsidRPr="00DA1EB3" w14:paraId="2391A000"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14BF4C8A"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283</w:t>
            </w:r>
          </w:p>
        </w:tc>
        <w:tc>
          <w:tcPr>
            <w:tcW w:w="7068" w:type="dxa"/>
            <w:vAlign w:val="center"/>
            <w:hideMark/>
          </w:tcPr>
          <w:p w14:paraId="09E7FAEA" w14:textId="6D9924FE"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Popular Sociedad Agencia de Seguros S.A.</w:t>
            </w:r>
          </w:p>
        </w:tc>
      </w:tr>
      <w:tr w:rsidR="007E5C22" w:rsidRPr="00DA1EB3" w14:paraId="40A5D5C6"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24B3F44C"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284</w:t>
            </w:r>
          </w:p>
        </w:tc>
        <w:tc>
          <w:tcPr>
            <w:tcW w:w="7068" w:type="dxa"/>
            <w:vAlign w:val="center"/>
            <w:hideMark/>
          </w:tcPr>
          <w:p w14:paraId="26AFC859" w14:textId="66EB57EE"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Popular Sociedad Fondos de Inversión S.A.</w:t>
            </w:r>
          </w:p>
        </w:tc>
      </w:tr>
      <w:tr w:rsidR="007E5C22" w:rsidRPr="00DA1EB3" w14:paraId="7D06CDF8"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3506E5CC"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285</w:t>
            </w:r>
          </w:p>
        </w:tc>
        <w:tc>
          <w:tcPr>
            <w:tcW w:w="7068" w:type="dxa"/>
            <w:vAlign w:val="center"/>
            <w:hideMark/>
          </w:tcPr>
          <w:p w14:paraId="64AA86EB"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Popular Valores, Puesto de Bolsa S. A.</w:t>
            </w:r>
          </w:p>
        </w:tc>
      </w:tr>
      <w:tr w:rsidR="007E5C22" w:rsidRPr="00DA1EB3" w14:paraId="37EFBF79"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091892D1"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286</w:t>
            </w:r>
          </w:p>
        </w:tc>
        <w:tc>
          <w:tcPr>
            <w:tcW w:w="7068" w:type="dxa"/>
            <w:vAlign w:val="center"/>
            <w:hideMark/>
          </w:tcPr>
          <w:p w14:paraId="0EC508D0"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Presidencia de la República</w:t>
            </w:r>
          </w:p>
        </w:tc>
      </w:tr>
      <w:tr w:rsidR="007E5C22" w:rsidRPr="00DA1EB3" w14:paraId="797E4A50"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0391495F"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287</w:t>
            </w:r>
          </w:p>
        </w:tc>
        <w:tc>
          <w:tcPr>
            <w:tcW w:w="7068" w:type="dxa"/>
            <w:vAlign w:val="center"/>
            <w:hideMark/>
          </w:tcPr>
          <w:p w14:paraId="77B86EC4"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Procuraduría General de la República (PGR)</w:t>
            </w:r>
          </w:p>
        </w:tc>
      </w:tr>
      <w:tr w:rsidR="007E5C22" w:rsidRPr="00DA1EB3" w14:paraId="33411276"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7CF5DBAA"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288</w:t>
            </w:r>
          </w:p>
        </w:tc>
        <w:tc>
          <w:tcPr>
            <w:tcW w:w="7068" w:type="dxa"/>
            <w:vAlign w:val="center"/>
            <w:hideMark/>
          </w:tcPr>
          <w:p w14:paraId="7EF90BA7"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Programa Integral de Mercadeo Agropecuario (PIMA)</w:t>
            </w:r>
          </w:p>
        </w:tc>
      </w:tr>
      <w:tr w:rsidR="007E5C22" w:rsidRPr="00DA1EB3" w14:paraId="06309CEA"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626DF808"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289</w:t>
            </w:r>
          </w:p>
        </w:tc>
        <w:tc>
          <w:tcPr>
            <w:tcW w:w="7068" w:type="dxa"/>
            <w:vAlign w:val="center"/>
            <w:hideMark/>
          </w:tcPr>
          <w:p w14:paraId="2FD12978"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Promotora del Comercio Exterior de Costa Rica (PROCOMER)</w:t>
            </w:r>
          </w:p>
        </w:tc>
      </w:tr>
      <w:tr w:rsidR="007E5C22" w:rsidRPr="00DA1EB3" w14:paraId="50D127E1"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120078F4"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290</w:t>
            </w:r>
          </w:p>
        </w:tc>
        <w:tc>
          <w:tcPr>
            <w:tcW w:w="7068" w:type="dxa"/>
            <w:vAlign w:val="center"/>
            <w:hideMark/>
          </w:tcPr>
          <w:p w14:paraId="372CE81B"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Radiográfica Costarricense S.A. (RACSA)</w:t>
            </w:r>
          </w:p>
        </w:tc>
      </w:tr>
      <w:tr w:rsidR="007E5C22" w:rsidRPr="00DA1EB3" w14:paraId="3FCAB03B"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02F3B4F0"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291</w:t>
            </w:r>
          </w:p>
        </w:tc>
        <w:tc>
          <w:tcPr>
            <w:tcW w:w="7068" w:type="dxa"/>
            <w:vAlign w:val="center"/>
            <w:hideMark/>
          </w:tcPr>
          <w:p w14:paraId="5A7118A1"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Refinadora Costarricense de Petróleo S.A. (RECOPE)</w:t>
            </w:r>
          </w:p>
        </w:tc>
      </w:tr>
      <w:tr w:rsidR="007E5C22" w:rsidRPr="00DA1EB3" w14:paraId="3DC88DFF" w14:textId="77777777" w:rsidTr="00345DAA">
        <w:trPr>
          <w:trHeight w:val="6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5DD7ACCF"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292</w:t>
            </w:r>
          </w:p>
        </w:tc>
        <w:tc>
          <w:tcPr>
            <w:tcW w:w="7068" w:type="dxa"/>
            <w:vAlign w:val="center"/>
            <w:hideMark/>
          </w:tcPr>
          <w:p w14:paraId="360D7830" w14:textId="303D80F9"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Secretaría Técnica de la Red Nacional de Cuido y Desarrollo Infantil (</w:t>
            </w:r>
            <w:proofErr w:type="spellStart"/>
            <w:r w:rsidRPr="00345DAA">
              <w:rPr>
                <w:rFonts w:ascii="IBM Plex Sans" w:eastAsia="Times New Roman" w:hAnsi="IBM Plex Sans" w:cs="Arial"/>
                <w:color w:val="000000"/>
                <w:sz w:val="20"/>
                <w:szCs w:val="20"/>
                <w:lang w:eastAsia="es-CR"/>
              </w:rPr>
              <w:t>Redcudi</w:t>
            </w:r>
            <w:proofErr w:type="spellEnd"/>
            <w:r w:rsidRPr="00345DAA">
              <w:rPr>
                <w:rFonts w:ascii="IBM Plex Sans" w:eastAsia="Times New Roman" w:hAnsi="IBM Plex Sans" w:cs="Arial"/>
                <w:color w:val="000000"/>
                <w:sz w:val="20"/>
                <w:szCs w:val="20"/>
                <w:lang w:eastAsia="es-CR"/>
              </w:rPr>
              <w:t>) (al IMAS)</w:t>
            </w:r>
          </w:p>
        </w:tc>
      </w:tr>
      <w:tr w:rsidR="007E5C22" w:rsidRPr="00DA1EB3" w14:paraId="0983EA68"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51FC5131"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293</w:t>
            </w:r>
          </w:p>
        </w:tc>
        <w:tc>
          <w:tcPr>
            <w:tcW w:w="7068" w:type="dxa"/>
            <w:vAlign w:val="center"/>
            <w:hideMark/>
          </w:tcPr>
          <w:p w14:paraId="57C3B1AC"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Secretaría Técnica Nacional Ambiental (SETENA)</w:t>
            </w:r>
          </w:p>
        </w:tc>
      </w:tr>
      <w:tr w:rsidR="007E5C22" w:rsidRPr="00DA1EB3" w14:paraId="15F27E51"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24C43FDF"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294</w:t>
            </w:r>
          </w:p>
        </w:tc>
        <w:tc>
          <w:tcPr>
            <w:tcW w:w="7068" w:type="dxa"/>
            <w:vAlign w:val="center"/>
            <w:hideMark/>
          </w:tcPr>
          <w:p w14:paraId="17D3084F"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Servicio Fitosanitario del Estado (SFE)</w:t>
            </w:r>
          </w:p>
        </w:tc>
      </w:tr>
      <w:tr w:rsidR="007E5C22" w:rsidRPr="00DA1EB3" w14:paraId="7A7E5F53" w14:textId="77777777" w:rsidTr="00345DA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12E4A512"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295</w:t>
            </w:r>
          </w:p>
        </w:tc>
        <w:tc>
          <w:tcPr>
            <w:tcW w:w="7068" w:type="dxa"/>
            <w:vAlign w:val="center"/>
            <w:hideMark/>
          </w:tcPr>
          <w:p w14:paraId="689D6D7E" w14:textId="2077D545"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Servicio Nacional de Aguas Subterráneas, Riego y Avenamiento (SENARA)</w:t>
            </w:r>
          </w:p>
        </w:tc>
      </w:tr>
      <w:tr w:rsidR="007E5C22" w:rsidRPr="00DA1EB3" w14:paraId="5DCA3788"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5D1BEA36"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296</w:t>
            </w:r>
          </w:p>
        </w:tc>
        <w:tc>
          <w:tcPr>
            <w:tcW w:w="7068" w:type="dxa"/>
            <w:vAlign w:val="center"/>
            <w:hideMark/>
          </w:tcPr>
          <w:p w14:paraId="12F50B96"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Servicio Nacional de Salud Animal (SENASA)</w:t>
            </w:r>
          </w:p>
        </w:tc>
      </w:tr>
      <w:tr w:rsidR="007E5C22" w:rsidRPr="00DA1EB3" w14:paraId="1FB20909"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31C14588"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297</w:t>
            </w:r>
          </w:p>
        </w:tc>
        <w:tc>
          <w:tcPr>
            <w:tcW w:w="7068" w:type="dxa"/>
            <w:vAlign w:val="center"/>
            <w:hideMark/>
          </w:tcPr>
          <w:p w14:paraId="5E95462D"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Sistema de Emergencias 9-1-1 (al ICE)</w:t>
            </w:r>
          </w:p>
        </w:tc>
      </w:tr>
      <w:tr w:rsidR="007E5C22" w:rsidRPr="00DA1EB3" w14:paraId="6060C23E"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0C116C33"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298</w:t>
            </w:r>
          </w:p>
        </w:tc>
        <w:tc>
          <w:tcPr>
            <w:tcW w:w="7068" w:type="dxa"/>
            <w:vAlign w:val="center"/>
            <w:hideMark/>
          </w:tcPr>
          <w:p w14:paraId="13709069"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Sistema Nacional de Áreas de Conservación (SINAC)</w:t>
            </w:r>
          </w:p>
        </w:tc>
      </w:tr>
      <w:tr w:rsidR="007E5C22" w:rsidRPr="00DA1EB3" w14:paraId="254128CE"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7B08A3E7"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299</w:t>
            </w:r>
          </w:p>
        </w:tc>
        <w:tc>
          <w:tcPr>
            <w:tcW w:w="7068" w:type="dxa"/>
            <w:vAlign w:val="center"/>
            <w:hideMark/>
          </w:tcPr>
          <w:p w14:paraId="1584DDE4"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Sistema Nacional de Educación Musical (SINEM)</w:t>
            </w:r>
          </w:p>
        </w:tc>
      </w:tr>
      <w:tr w:rsidR="007E5C22" w:rsidRPr="00DA1EB3" w14:paraId="4668342E" w14:textId="77777777" w:rsidTr="00345DAA">
        <w:trPr>
          <w:trHeight w:val="6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4FC72A6C"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300</w:t>
            </w:r>
          </w:p>
        </w:tc>
        <w:tc>
          <w:tcPr>
            <w:tcW w:w="7068" w:type="dxa"/>
            <w:vAlign w:val="center"/>
            <w:hideMark/>
          </w:tcPr>
          <w:p w14:paraId="26B344EE"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Sistema Nacional de Información y Registro Único de Beneficiarios del Estado (SINIRUBE) (al IMAS)</w:t>
            </w:r>
          </w:p>
        </w:tc>
      </w:tr>
      <w:tr w:rsidR="007E5C22" w:rsidRPr="00DA1EB3" w14:paraId="704441F3"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26A69AC2"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301</w:t>
            </w:r>
          </w:p>
        </w:tc>
        <w:tc>
          <w:tcPr>
            <w:tcW w:w="7068" w:type="dxa"/>
            <w:vAlign w:val="center"/>
            <w:hideMark/>
          </w:tcPr>
          <w:p w14:paraId="608BDA58"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Sistema Nacional de Radio y Televisión S.A. (SINART)</w:t>
            </w:r>
          </w:p>
        </w:tc>
      </w:tr>
      <w:tr w:rsidR="007E5C22" w:rsidRPr="00DA1EB3" w14:paraId="644ACF45" w14:textId="77777777" w:rsidTr="00345DAA">
        <w:trPr>
          <w:trHeight w:val="6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05A2FB45"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302</w:t>
            </w:r>
          </w:p>
        </w:tc>
        <w:tc>
          <w:tcPr>
            <w:tcW w:w="7068" w:type="dxa"/>
            <w:vAlign w:val="center"/>
            <w:hideMark/>
          </w:tcPr>
          <w:p w14:paraId="588E406F"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Superintendencia de Telecomunicaciones (SUTEL) (a la ARESEP)</w:t>
            </w:r>
          </w:p>
        </w:tc>
      </w:tr>
      <w:tr w:rsidR="007E5C22" w:rsidRPr="00DA1EB3" w14:paraId="06459C21" w14:textId="77777777" w:rsidTr="00345DA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24FE67F4"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303</w:t>
            </w:r>
          </w:p>
        </w:tc>
        <w:tc>
          <w:tcPr>
            <w:tcW w:w="7068" w:type="dxa"/>
            <w:vAlign w:val="center"/>
            <w:hideMark/>
          </w:tcPr>
          <w:p w14:paraId="4EE6C5F8" w14:textId="7AC9881E"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Superintendencia General de Entidades Financieras (SUGEF) (al BCCR)</w:t>
            </w:r>
          </w:p>
        </w:tc>
      </w:tr>
      <w:tr w:rsidR="007E5C22" w:rsidRPr="00DA1EB3" w14:paraId="037EEFBD"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37835A15"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304</w:t>
            </w:r>
          </w:p>
        </w:tc>
        <w:tc>
          <w:tcPr>
            <w:tcW w:w="7068" w:type="dxa"/>
            <w:vAlign w:val="center"/>
            <w:hideMark/>
          </w:tcPr>
          <w:p w14:paraId="4523A508"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Superintendencia General de Pensiones (SUPEN) (BCCR)</w:t>
            </w:r>
          </w:p>
        </w:tc>
      </w:tr>
      <w:tr w:rsidR="007E5C22" w:rsidRPr="00DA1EB3" w14:paraId="4D93D26A"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37BFD23E"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305</w:t>
            </w:r>
          </w:p>
        </w:tc>
        <w:tc>
          <w:tcPr>
            <w:tcW w:w="7068" w:type="dxa"/>
            <w:vAlign w:val="center"/>
            <w:hideMark/>
          </w:tcPr>
          <w:p w14:paraId="54F17149"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Superintendencia General de Seguros (SUGESE) (BCCR)</w:t>
            </w:r>
          </w:p>
        </w:tc>
      </w:tr>
      <w:tr w:rsidR="007E5C22" w:rsidRPr="00DA1EB3" w14:paraId="5177A304"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3AFBFEA1"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306</w:t>
            </w:r>
          </w:p>
        </w:tc>
        <w:tc>
          <w:tcPr>
            <w:tcW w:w="7068" w:type="dxa"/>
            <w:vAlign w:val="center"/>
            <w:hideMark/>
          </w:tcPr>
          <w:p w14:paraId="70644352"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Superintendencia General de Valores (SUGEVAL) (BCCR)</w:t>
            </w:r>
          </w:p>
        </w:tc>
      </w:tr>
      <w:tr w:rsidR="007E5C22" w:rsidRPr="00DA1EB3" w14:paraId="323D19F8"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75B59E9A"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307</w:t>
            </w:r>
          </w:p>
        </w:tc>
        <w:tc>
          <w:tcPr>
            <w:tcW w:w="7068" w:type="dxa"/>
            <w:vAlign w:val="center"/>
            <w:hideMark/>
          </w:tcPr>
          <w:p w14:paraId="53926518"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Teatro Nacional (TN)</w:t>
            </w:r>
          </w:p>
        </w:tc>
      </w:tr>
      <w:tr w:rsidR="007E5C22" w:rsidRPr="00DA1EB3" w14:paraId="71DB8B83"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6D1A072C"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308</w:t>
            </w:r>
          </w:p>
        </w:tc>
        <w:tc>
          <w:tcPr>
            <w:tcW w:w="7068" w:type="dxa"/>
            <w:vAlign w:val="center"/>
            <w:hideMark/>
          </w:tcPr>
          <w:p w14:paraId="1A921926"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Teatro Popular Mélico Salazar</w:t>
            </w:r>
          </w:p>
        </w:tc>
      </w:tr>
      <w:tr w:rsidR="007E5C22" w:rsidRPr="00DA1EB3" w14:paraId="26E6EDA5" w14:textId="77777777" w:rsidTr="00345DA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0E841016"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lastRenderedPageBreak/>
              <w:t>309</w:t>
            </w:r>
          </w:p>
        </w:tc>
        <w:tc>
          <w:tcPr>
            <w:tcW w:w="7068" w:type="dxa"/>
            <w:vAlign w:val="center"/>
            <w:hideMark/>
          </w:tcPr>
          <w:p w14:paraId="7B69DA41"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Tribunal Administrativo de Conflictos Deportivos (TRIACODE) (ICODER)</w:t>
            </w:r>
          </w:p>
        </w:tc>
      </w:tr>
      <w:tr w:rsidR="007E5C22" w:rsidRPr="00DA1EB3" w14:paraId="7635F095" w14:textId="77777777" w:rsidTr="00345DAA">
        <w:trPr>
          <w:trHeight w:val="6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04379A80"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310</w:t>
            </w:r>
          </w:p>
        </w:tc>
        <w:tc>
          <w:tcPr>
            <w:tcW w:w="7068" w:type="dxa"/>
            <w:vAlign w:val="center"/>
            <w:hideMark/>
          </w:tcPr>
          <w:p w14:paraId="642EE5E2"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Tribunal Administrativo de la Seguridad Social del Régimen de Pensiones y Jubilaciones del Magisterio Nacional</w:t>
            </w:r>
          </w:p>
        </w:tc>
      </w:tr>
      <w:tr w:rsidR="007E5C22" w:rsidRPr="00DA1EB3" w14:paraId="5E4204FD"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0E5B6A09"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311</w:t>
            </w:r>
          </w:p>
        </w:tc>
        <w:tc>
          <w:tcPr>
            <w:tcW w:w="7068" w:type="dxa"/>
            <w:vAlign w:val="center"/>
            <w:hideMark/>
          </w:tcPr>
          <w:p w14:paraId="63FF8FF1"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Tribunal Administrativo de Transporte</w:t>
            </w:r>
          </w:p>
        </w:tc>
      </w:tr>
      <w:tr w:rsidR="007E5C22" w:rsidRPr="00DA1EB3" w14:paraId="1FD4278A"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25C64217"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312</w:t>
            </w:r>
          </w:p>
        </w:tc>
        <w:tc>
          <w:tcPr>
            <w:tcW w:w="7068" w:type="dxa"/>
            <w:vAlign w:val="center"/>
            <w:hideMark/>
          </w:tcPr>
          <w:p w14:paraId="41E24093"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Tribunal Administrativo del Servicio Civil</w:t>
            </w:r>
          </w:p>
        </w:tc>
      </w:tr>
      <w:tr w:rsidR="007E5C22" w:rsidRPr="00DA1EB3" w14:paraId="126EA2D9"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28FD8E55"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313</w:t>
            </w:r>
          </w:p>
        </w:tc>
        <w:tc>
          <w:tcPr>
            <w:tcW w:w="7068" w:type="dxa"/>
            <w:vAlign w:val="center"/>
            <w:hideMark/>
          </w:tcPr>
          <w:p w14:paraId="224A2B5F"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Tribunal Administrativo Migratorio</w:t>
            </w:r>
          </w:p>
        </w:tc>
      </w:tr>
      <w:tr w:rsidR="007E5C22" w:rsidRPr="00DA1EB3" w14:paraId="3291B447"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396A0F50"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314</w:t>
            </w:r>
          </w:p>
        </w:tc>
        <w:tc>
          <w:tcPr>
            <w:tcW w:w="7068" w:type="dxa"/>
            <w:vAlign w:val="center"/>
            <w:hideMark/>
          </w:tcPr>
          <w:p w14:paraId="34DA378C"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Tribunal Aduanero Nacional</w:t>
            </w:r>
          </w:p>
        </w:tc>
      </w:tr>
      <w:tr w:rsidR="007E5C22" w:rsidRPr="00DA1EB3" w14:paraId="1AB877E3"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1ABDC709"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315</w:t>
            </w:r>
          </w:p>
        </w:tc>
        <w:tc>
          <w:tcPr>
            <w:tcW w:w="7068" w:type="dxa"/>
            <w:vAlign w:val="center"/>
            <w:hideMark/>
          </w:tcPr>
          <w:p w14:paraId="7D89636E"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Tribunal Ambiental Administrativo</w:t>
            </w:r>
          </w:p>
        </w:tc>
      </w:tr>
      <w:tr w:rsidR="007E5C22" w:rsidRPr="00DA1EB3" w14:paraId="05B2DBFB"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31DBFBEF"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316</w:t>
            </w:r>
          </w:p>
        </w:tc>
        <w:tc>
          <w:tcPr>
            <w:tcW w:w="7068" w:type="dxa"/>
            <w:vAlign w:val="center"/>
            <w:hideMark/>
          </w:tcPr>
          <w:p w14:paraId="5F5CC9B4"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Tribunal Fiscal Administrativo</w:t>
            </w:r>
          </w:p>
        </w:tc>
      </w:tr>
      <w:tr w:rsidR="007E5C22" w:rsidRPr="00DA1EB3" w14:paraId="4D2236E4"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39ADDAA4"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317</w:t>
            </w:r>
          </w:p>
        </w:tc>
        <w:tc>
          <w:tcPr>
            <w:tcW w:w="7068" w:type="dxa"/>
            <w:vAlign w:val="center"/>
            <w:hideMark/>
          </w:tcPr>
          <w:p w14:paraId="5DA990BB"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Tribunal Registral Administrativo</w:t>
            </w:r>
          </w:p>
        </w:tc>
      </w:tr>
      <w:tr w:rsidR="007E5C22" w:rsidRPr="00DA1EB3" w14:paraId="6EAE9DBA"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34A0A451"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318</w:t>
            </w:r>
          </w:p>
        </w:tc>
        <w:tc>
          <w:tcPr>
            <w:tcW w:w="7068" w:type="dxa"/>
            <w:vAlign w:val="center"/>
            <w:hideMark/>
          </w:tcPr>
          <w:p w14:paraId="11CC88F3" w14:textId="64811D58"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Tribunal Supremo de Elecciones</w:t>
            </w:r>
          </w:p>
        </w:tc>
      </w:tr>
      <w:tr w:rsidR="007E5C22" w:rsidRPr="00DA1EB3" w14:paraId="4191A0FF"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3BE5E567"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319</w:t>
            </w:r>
          </w:p>
        </w:tc>
        <w:tc>
          <w:tcPr>
            <w:tcW w:w="7068" w:type="dxa"/>
            <w:vAlign w:val="center"/>
            <w:hideMark/>
          </w:tcPr>
          <w:p w14:paraId="7D9E6B91" w14:textId="4F2C8A7C"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Universidad de Costa Rica (UCR)</w:t>
            </w:r>
          </w:p>
        </w:tc>
      </w:tr>
      <w:tr w:rsidR="007E5C22" w:rsidRPr="00DA1EB3" w14:paraId="548E9C0A"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0ADA3247"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320</w:t>
            </w:r>
          </w:p>
        </w:tc>
        <w:tc>
          <w:tcPr>
            <w:tcW w:w="7068" w:type="dxa"/>
            <w:vAlign w:val="center"/>
            <w:hideMark/>
          </w:tcPr>
          <w:p w14:paraId="6FC786E3"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Universidad Estatal a Distancia (UNED)</w:t>
            </w:r>
          </w:p>
        </w:tc>
      </w:tr>
      <w:tr w:rsidR="007E5C22" w:rsidRPr="00DA1EB3" w14:paraId="49BD1D98"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7E0502EC"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321</w:t>
            </w:r>
          </w:p>
        </w:tc>
        <w:tc>
          <w:tcPr>
            <w:tcW w:w="7068" w:type="dxa"/>
            <w:vAlign w:val="center"/>
            <w:hideMark/>
          </w:tcPr>
          <w:p w14:paraId="214E0907"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Universidad Nacional (UNA)</w:t>
            </w:r>
          </w:p>
        </w:tc>
      </w:tr>
      <w:tr w:rsidR="007E5C22" w:rsidRPr="00DA1EB3" w14:paraId="0BAFFF49" w14:textId="77777777" w:rsidTr="00345DAA">
        <w:trPr>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vAlign w:val="center"/>
            <w:hideMark/>
          </w:tcPr>
          <w:p w14:paraId="77253811"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322</w:t>
            </w:r>
          </w:p>
        </w:tc>
        <w:tc>
          <w:tcPr>
            <w:tcW w:w="7068" w:type="dxa"/>
            <w:vAlign w:val="center"/>
            <w:hideMark/>
          </w:tcPr>
          <w:p w14:paraId="69E4DAEF" w14:textId="77777777" w:rsidR="007E5C22" w:rsidRPr="00345DAA" w:rsidRDefault="007E5C22" w:rsidP="00345DAA">
            <w:pPr>
              <w:cnfStyle w:val="000000000000" w:firstRow="0" w:lastRow="0" w:firstColumn="0" w:lastColumn="0" w:oddVBand="0" w:evenVBand="0" w:oddHBand="0"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Universidad Técnica Nacional (UTN)</w:t>
            </w:r>
          </w:p>
        </w:tc>
      </w:tr>
      <w:tr w:rsidR="007E5C22" w:rsidRPr="00DA1EB3" w14:paraId="40D818AC" w14:textId="77777777" w:rsidTr="00345D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dxa"/>
            <w:shd w:val="clear" w:color="auto" w:fill="002060"/>
            <w:noWrap/>
            <w:vAlign w:val="center"/>
            <w:hideMark/>
          </w:tcPr>
          <w:p w14:paraId="79E13BAE" w14:textId="77777777" w:rsidR="007E5C22" w:rsidRPr="00345DAA" w:rsidRDefault="007E5C22" w:rsidP="00B8067B">
            <w:pPr>
              <w:rPr>
                <w:rFonts w:ascii="IBM Plex Sans" w:eastAsia="Times New Roman" w:hAnsi="IBM Plex Sans" w:cs="Arial"/>
                <w:sz w:val="20"/>
                <w:szCs w:val="20"/>
                <w:lang w:eastAsia="es-CR"/>
              </w:rPr>
            </w:pPr>
            <w:r w:rsidRPr="00345DAA">
              <w:rPr>
                <w:rFonts w:ascii="IBM Plex Sans" w:eastAsia="Times New Roman" w:hAnsi="IBM Plex Sans" w:cs="Arial"/>
                <w:sz w:val="20"/>
                <w:szCs w:val="20"/>
                <w:lang w:eastAsia="es-CR"/>
              </w:rPr>
              <w:t>323</w:t>
            </w:r>
          </w:p>
        </w:tc>
        <w:tc>
          <w:tcPr>
            <w:tcW w:w="7068" w:type="dxa"/>
            <w:vAlign w:val="center"/>
            <w:hideMark/>
          </w:tcPr>
          <w:p w14:paraId="50BB69D6" w14:textId="77777777" w:rsidR="007E5C22" w:rsidRPr="00345DAA" w:rsidRDefault="007E5C22" w:rsidP="00345DAA">
            <w:pPr>
              <w:cnfStyle w:val="000000100000" w:firstRow="0" w:lastRow="0" w:firstColumn="0" w:lastColumn="0" w:oddVBand="0" w:evenVBand="0" w:oddHBand="1" w:evenHBand="0" w:firstRowFirstColumn="0" w:firstRowLastColumn="0" w:lastRowFirstColumn="0" w:lastRowLastColumn="0"/>
              <w:rPr>
                <w:rFonts w:ascii="IBM Plex Sans" w:eastAsia="Times New Roman" w:hAnsi="IBM Plex Sans" w:cs="Arial"/>
                <w:color w:val="000000"/>
                <w:sz w:val="20"/>
                <w:szCs w:val="20"/>
                <w:lang w:eastAsia="es-CR"/>
              </w:rPr>
            </w:pPr>
            <w:r w:rsidRPr="00345DAA">
              <w:rPr>
                <w:rFonts w:ascii="IBM Plex Sans" w:eastAsia="Times New Roman" w:hAnsi="IBM Plex Sans" w:cs="Arial"/>
                <w:color w:val="000000"/>
                <w:sz w:val="20"/>
                <w:szCs w:val="20"/>
                <w:lang w:eastAsia="es-CR"/>
              </w:rPr>
              <w:t>Vida Plena Operadora de Pensiones Complementarias S.A.</w:t>
            </w:r>
          </w:p>
        </w:tc>
      </w:tr>
    </w:tbl>
    <w:p w14:paraId="13F4B484" w14:textId="4B720E83" w:rsidR="00F31841" w:rsidRPr="00345DAA" w:rsidRDefault="009D77C2" w:rsidP="00345DAA">
      <w:pPr>
        <w:spacing w:line="240" w:lineRule="auto"/>
        <w:jc w:val="both"/>
        <w:rPr>
          <w:rFonts w:ascii="IBM Plex Sans Light" w:hAnsi="IBM Plex Sans Light" w:cs="Arial"/>
          <w:sz w:val="18"/>
          <w:szCs w:val="18"/>
        </w:rPr>
      </w:pPr>
      <w:r w:rsidRPr="00345DAA">
        <w:rPr>
          <w:rFonts w:ascii="IBM Plex Sans Light" w:hAnsi="IBM Plex Sans Light" w:cs="Arial"/>
          <w:sz w:val="18"/>
          <w:szCs w:val="18"/>
        </w:rPr>
        <w:t>Fuente: Elaboración propia</w:t>
      </w:r>
      <w:r w:rsidR="00E8543E" w:rsidRPr="00345DAA">
        <w:rPr>
          <w:rFonts w:ascii="IBM Plex Sans Light" w:hAnsi="IBM Plex Sans Light" w:cs="Arial"/>
          <w:sz w:val="18"/>
          <w:szCs w:val="18"/>
        </w:rPr>
        <w:t xml:space="preserve"> a partir del Listado de las instituciones públicas según naturaleza jurídica (MIDEPLAN, 2020).</w:t>
      </w:r>
    </w:p>
    <w:p w14:paraId="63982346" w14:textId="77777777" w:rsidR="009D77C2" w:rsidRPr="00345DAA" w:rsidRDefault="009D77C2" w:rsidP="00345DAA">
      <w:pPr>
        <w:spacing w:line="240" w:lineRule="auto"/>
        <w:jc w:val="both"/>
        <w:rPr>
          <w:rFonts w:ascii="IBM Plex Sans" w:hAnsi="IBM Plex Sans" w:cs="Arial"/>
        </w:rPr>
      </w:pPr>
    </w:p>
    <w:p w14:paraId="6C5B1682" w14:textId="77777777" w:rsidR="00345DAA" w:rsidRPr="00345DAA" w:rsidRDefault="003B18C6" w:rsidP="00345DAA">
      <w:pPr>
        <w:pStyle w:val="Ttulo2"/>
        <w:rPr>
          <w:rFonts w:ascii="IBM Plex Sans" w:hAnsi="IBM Plex Sans"/>
        </w:rPr>
      </w:pPr>
      <w:bookmarkStart w:id="16" w:name="_Toc86615286"/>
      <w:r w:rsidRPr="00345DAA">
        <w:rPr>
          <w:rFonts w:ascii="IBM Plex Sans" w:hAnsi="IBM Plex Sans"/>
        </w:rPr>
        <w:t>9</w:t>
      </w:r>
      <w:r w:rsidR="00F31841" w:rsidRPr="00345DAA">
        <w:rPr>
          <w:rFonts w:ascii="IBM Plex Sans" w:hAnsi="IBM Plex Sans"/>
        </w:rPr>
        <w:t xml:space="preserve">. Fecha de </w:t>
      </w:r>
      <w:r w:rsidR="007E035D" w:rsidRPr="00345DAA">
        <w:rPr>
          <w:rFonts w:ascii="IBM Plex Sans" w:hAnsi="IBM Plex Sans"/>
        </w:rPr>
        <w:t>aprobación</w:t>
      </w:r>
      <w:r w:rsidR="00F31841" w:rsidRPr="00345DAA">
        <w:rPr>
          <w:rFonts w:ascii="IBM Plex Sans" w:hAnsi="IBM Plex Sans"/>
        </w:rPr>
        <w:t xml:space="preserve"> de la norma (fecha)</w:t>
      </w:r>
      <w:bookmarkEnd w:id="16"/>
    </w:p>
    <w:p w14:paraId="2DBDF576" w14:textId="7E145057" w:rsidR="00F31841" w:rsidRPr="00345DAA" w:rsidRDefault="00F31841" w:rsidP="00345DAA">
      <w:pPr>
        <w:spacing w:line="240" w:lineRule="auto"/>
        <w:jc w:val="both"/>
        <w:rPr>
          <w:rFonts w:ascii="IBM Plex Sans" w:hAnsi="IBM Plex Sans" w:cs="Arial"/>
        </w:rPr>
      </w:pPr>
      <w:r w:rsidRPr="00345DAA">
        <w:rPr>
          <w:rFonts w:ascii="IBM Plex Sans" w:hAnsi="IBM Plex Sans" w:cs="Arial"/>
        </w:rPr>
        <w:t xml:space="preserve">Corresponde a la fecha exacta en la que la norma fue </w:t>
      </w:r>
      <w:r w:rsidR="007E035D" w:rsidRPr="00345DAA">
        <w:rPr>
          <w:rFonts w:ascii="IBM Plex Sans" w:hAnsi="IBM Plex Sans" w:cs="Arial"/>
        </w:rPr>
        <w:t>aprobada</w:t>
      </w:r>
      <w:r w:rsidRPr="00345DAA">
        <w:rPr>
          <w:rFonts w:ascii="IBM Plex Sans" w:hAnsi="IBM Plex Sans" w:cs="Arial"/>
        </w:rPr>
        <w:t xml:space="preserve"> por la institución. Para efectos de la base de datos, la fecha </w:t>
      </w:r>
      <w:r w:rsidR="00C23E2E" w:rsidRPr="00345DAA">
        <w:rPr>
          <w:rFonts w:ascii="IBM Plex Sans" w:hAnsi="IBM Plex Sans" w:cs="Arial"/>
        </w:rPr>
        <w:t xml:space="preserve">siempre se </w:t>
      </w:r>
      <w:r w:rsidRPr="00345DAA">
        <w:rPr>
          <w:rFonts w:ascii="IBM Plex Sans" w:hAnsi="IBM Plex Sans" w:cs="Arial"/>
        </w:rPr>
        <w:t>debe registrar con el formato Día/Mes/Año siempre. Por ejemplo, el 18 de marzo de 2020 debe indicarse de la siguiente forma: 18/3/2020.</w:t>
      </w:r>
      <w:r w:rsidR="001E6FFA" w:rsidRPr="00345DAA">
        <w:rPr>
          <w:rFonts w:ascii="IBM Plex Sans" w:hAnsi="IBM Plex Sans" w:cs="Arial"/>
        </w:rPr>
        <w:t xml:space="preserve"> En caso de que el documento no indique explícitamente la fecha de aprobación se deberá registrarse “NI”.</w:t>
      </w:r>
    </w:p>
    <w:p w14:paraId="15673F6D" w14:textId="77777777" w:rsidR="00345DAA" w:rsidRPr="00345DAA" w:rsidRDefault="003B18C6" w:rsidP="00345DAA">
      <w:pPr>
        <w:pStyle w:val="Ttulo2"/>
        <w:rPr>
          <w:rFonts w:ascii="IBM Plex Sans" w:hAnsi="IBM Plex Sans"/>
        </w:rPr>
      </w:pPr>
      <w:bookmarkStart w:id="17" w:name="_Toc86615287"/>
      <w:r w:rsidRPr="00345DAA">
        <w:rPr>
          <w:rFonts w:ascii="IBM Plex Sans" w:hAnsi="IBM Plex Sans"/>
        </w:rPr>
        <w:t xml:space="preserve">10. </w:t>
      </w:r>
      <w:r w:rsidR="008D4FCB" w:rsidRPr="00345DAA">
        <w:rPr>
          <w:rFonts w:ascii="IBM Plex Sans" w:hAnsi="IBM Plex Sans"/>
        </w:rPr>
        <w:t>Efecto</w:t>
      </w:r>
      <w:r w:rsidR="004A02F1" w:rsidRPr="00345DAA">
        <w:rPr>
          <w:rFonts w:ascii="IBM Plex Sans" w:hAnsi="IBM Plex Sans"/>
        </w:rPr>
        <w:t xml:space="preserve"> de la medida (</w:t>
      </w:r>
      <w:r w:rsidR="008D4FCB" w:rsidRPr="00345DAA">
        <w:rPr>
          <w:rFonts w:ascii="IBM Plex Sans" w:hAnsi="IBM Plex Sans"/>
        </w:rPr>
        <w:t>efecto</w:t>
      </w:r>
      <w:r w:rsidR="004A02F1" w:rsidRPr="00345DAA">
        <w:rPr>
          <w:rFonts w:ascii="IBM Plex Sans" w:hAnsi="IBM Plex Sans"/>
        </w:rPr>
        <w:t>)</w:t>
      </w:r>
      <w:bookmarkEnd w:id="17"/>
    </w:p>
    <w:p w14:paraId="2AF5E3A2" w14:textId="76E6F58E" w:rsidR="004A02F1" w:rsidRPr="00345DAA" w:rsidRDefault="004A02F1" w:rsidP="00345DAA">
      <w:pPr>
        <w:spacing w:line="240" w:lineRule="auto"/>
        <w:jc w:val="both"/>
        <w:rPr>
          <w:rFonts w:ascii="IBM Plex Sans" w:hAnsi="IBM Plex Sans" w:cs="Arial"/>
        </w:rPr>
      </w:pPr>
      <w:r w:rsidRPr="00345DAA">
        <w:rPr>
          <w:rFonts w:ascii="IBM Plex Sans" w:hAnsi="IBM Plex Sans" w:cs="Arial"/>
        </w:rPr>
        <w:t xml:space="preserve">Esta variable señala el </w:t>
      </w:r>
      <w:r w:rsidR="008D4FCB" w:rsidRPr="00345DAA">
        <w:rPr>
          <w:rFonts w:ascii="IBM Plex Sans" w:hAnsi="IBM Plex Sans" w:cs="Arial"/>
        </w:rPr>
        <w:t>efecto</w:t>
      </w:r>
      <w:r w:rsidRPr="00345DAA">
        <w:rPr>
          <w:rFonts w:ascii="IBM Plex Sans" w:hAnsi="IBM Plex Sans" w:cs="Arial"/>
        </w:rPr>
        <w:t xml:space="preserve"> de la medida </w:t>
      </w:r>
      <w:r w:rsidR="002F7B84" w:rsidRPr="00345DAA">
        <w:rPr>
          <w:rFonts w:ascii="IBM Plex Sans" w:hAnsi="IBM Plex Sans" w:cs="Arial"/>
        </w:rPr>
        <w:t xml:space="preserve">sobre </w:t>
      </w:r>
      <w:r w:rsidR="002C0B7C" w:rsidRPr="00345DAA">
        <w:rPr>
          <w:rFonts w:ascii="IBM Plex Sans" w:hAnsi="IBM Plex Sans" w:cs="Arial"/>
        </w:rPr>
        <w:t>las personas, las empresas y las comunidades.</w:t>
      </w:r>
    </w:p>
    <w:p w14:paraId="362A8D80" w14:textId="26A24DFB" w:rsidR="004A02F1" w:rsidRPr="00345DAA" w:rsidRDefault="004A02F1" w:rsidP="00345DAA">
      <w:pPr>
        <w:spacing w:line="240" w:lineRule="auto"/>
        <w:jc w:val="both"/>
        <w:rPr>
          <w:rFonts w:ascii="IBM Plex Sans" w:hAnsi="IBM Plex Sans" w:cs="Arial"/>
        </w:rPr>
      </w:pPr>
      <w:r w:rsidRPr="00345DAA">
        <w:rPr>
          <w:rFonts w:ascii="IBM Plex Sans" w:hAnsi="IBM Plex Sans" w:cs="Arial"/>
        </w:rPr>
        <w:t xml:space="preserve">El </w:t>
      </w:r>
      <w:r w:rsidR="003A2303" w:rsidRPr="00345DAA">
        <w:rPr>
          <w:rFonts w:ascii="IBM Plex Sans" w:hAnsi="IBM Plex Sans" w:cs="Arial"/>
        </w:rPr>
        <w:t>efecto de la medida</w:t>
      </w:r>
      <w:r w:rsidRPr="00345DAA">
        <w:rPr>
          <w:rFonts w:ascii="IBM Plex Sans" w:hAnsi="IBM Plex Sans" w:cs="Arial"/>
        </w:rPr>
        <w:t xml:space="preserve"> </w:t>
      </w:r>
      <w:r w:rsidR="00081E35" w:rsidRPr="00345DAA">
        <w:rPr>
          <w:rFonts w:ascii="IBM Plex Sans" w:hAnsi="IBM Plex Sans" w:cs="Arial"/>
        </w:rPr>
        <w:t>se origina</w:t>
      </w:r>
      <w:r w:rsidR="00453113" w:rsidRPr="00345DAA">
        <w:rPr>
          <w:rFonts w:ascii="IBM Plex Sans" w:hAnsi="IBM Plex Sans" w:cs="Arial"/>
        </w:rPr>
        <w:t xml:space="preserve"> a partir </w:t>
      </w:r>
      <w:r w:rsidR="00700EB3" w:rsidRPr="00345DAA">
        <w:rPr>
          <w:rFonts w:ascii="IBM Plex Sans" w:hAnsi="IBM Plex Sans" w:cs="Arial"/>
        </w:rPr>
        <w:t>de un nivel micro</w:t>
      </w:r>
      <w:r w:rsidR="00BB7F8A" w:rsidRPr="00345DAA">
        <w:rPr>
          <w:rFonts w:ascii="IBM Plex Sans" w:hAnsi="IBM Plex Sans" w:cs="Arial"/>
        </w:rPr>
        <w:t>,</w:t>
      </w:r>
      <w:r w:rsidR="00700EB3" w:rsidRPr="00345DAA">
        <w:rPr>
          <w:rFonts w:ascii="IBM Plex Sans" w:hAnsi="IBM Plex Sans" w:cs="Arial"/>
        </w:rPr>
        <w:t xml:space="preserve"> </w:t>
      </w:r>
      <w:r w:rsidR="005324CF" w:rsidRPr="00345DAA">
        <w:rPr>
          <w:rFonts w:ascii="IBM Plex Sans" w:hAnsi="IBM Plex Sans" w:cs="Arial"/>
        </w:rPr>
        <w:t>enfocado en</w:t>
      </w:r>
      <w:r w:rsidR="00135C1E" w:rsidRPr="00345DAA">
        <w:rPr>
          <w:rFonts w:ascii="IBM Plex Sans" w:hAnsi="IBM Plex Sans" w:cs="Arial"/>
        </w:rPr>
        <w:t xml:space="preserve"> l</w:t>
      </w:r>
      <w:r w:rsidR="00783318" w:rsidRPr="00345DAA">
        <w:rPr>
          <w:rFonts w:ascii="IBM Plex Sans" w:hAnsi="IBM Plex Sans" w:cs="Arial"/>
        </w:rPr>
        <w:t>a</w:t>
      </w:r>
      <w:r w:rsidR="00CF3B5F" w:rsidRPr="00345DAA">
        <w:rPr>
          <w:rFonts w:ascii="IBM Plex Sans" w:hAnsi="IBM Plex Sans" w:cs="Arial"/>
        </w:rPr>
        <w:t xml:space="preserve">s personas, las empresas y las comunidades. El efecto </w:t>
      </w:r>
      <w:r w:rsidRPr="00345DAA">
        <w:rPr>
          <w:rFonts w:ascii="IBM Plex Sans" w:hAnsi="IBM Plex Sans" w:cs="Arial"/>
        </w:rPr>
        <w:t xml:space="preserve">se divide en cuatro niveles: 1) primer nivel, </w:t>
      </w:r>
      <w:r w:rsidR="00EE4C59" w:rsidRPr="00345DAA">
        <w:rPr>
          <w:rFonts w:ascii="IBM Plex Sans" w:hAnsi="IBM Plex Sans" w:cs="Arial"/>
        </w:rPr>
        <w:t>efecto</w:t>
      </w:r>
      <w:r w:rsidRPr="00345DAA">
        <w:rPr>
          <w:rFonts w:ascii="IBM Plex Sans" w:hAnsi="IBM Plex Sans" w:cs="Arial"/>
        </w:rPr>
        <w:t xml:space="preserve"> direct</w:t>
      </w:r>
      <w:r w:rsidR="00EE4C59" w:rsidRPr="00345DAA">
        <w:rPr>
          <w:rFonts w:ascii="IBM Plex Sans" w:hAnsi="IBM Plex Sans" w:cs="Arial"/>
        </w:rPr>
        <w:t>o</w:t>
      </w:r>
      <w:r w:rsidRPr="00345DAA">
        <w:rPr>
          <w:rFonts w:ascii="IBM Plex Sans" w:hAnsi="IBM Plex Sans" w:cs="Arial"/>
        </w:rPr>
        <w:t xml:space="preserve"> sobre la esfera de acción de</w:t>
      </w:r>
      <w:r w:rsidR="00CF3B5F" w:rsidRPr="00345DAA">
        <w:rPr>
          <w:rFonts w:ascii="IBM Plex Sans" w:hAnsi="IBM Plex Sans" w:cs="Arial"/>
        </w:rPr>
        <w:t xml:space="preserve"> </w:t>
      </w:r>
      <w:r w:rsidR="005923F4" w:rsidRPr="00345DAA">
        <w:rPr>
          <w:rFonts w:ascii="IBM Plex Sans" w:hAnsi="IBM Plex Sans" w:cs="Arial"/>
        </w:rPr>
        <w:t xml:space="preserve">las personas, las empresas y las comunidades </w:t>
      </w:r>
      <w:r w:rsidRPr="00345DAA">
        <w:rPr>
          <w:rFonts w:ascii="IBM Plex Sans" w:hAnsi="IBM Plex Sans" w:cs="Arial"/>
        </w:rPr>
        <w:t xml:space="preserve">(vida social, económica, política y/o ambiental); 2) segundo nivel, </w:t>
      </w:r>
      <w:r w:rsidR="00F5143F" w:rsidRPr="00345DAA">
        <w:rPr>
          <w:rFonts w:ascii="IBM Plex Sans" w:hAnsi="IBM Plex Sans" w:cs="Arial"/>
        </w:rPr>
        <w:t>efecto</w:t>
      </w:r>
      <w:r w:rsidRPr="00345DAA">
        <w:rPr>
          <w:rFonts w:ascii="IBM Plex Sans" w:hAnsi="IBM Plex Sans" w:cs="Arial"/>
        </w:rPr>
        <w:t xml:space="preserve"> indirect</w:t>
      </w:r>
      <w:r w:rsidR="00F5143F" w:rsidRPr="00345DAA">
        <w:rPr>
          <w:rFonts w:ascii="IBM Plex Sans" w:hAnsi="IBM Plex Sans" w:cs="Arial"/>
        </w:rPr>
        <w:t>o</w:t>
      </w:r>
      <w:r w:rsidRPr="00345DAA">
        <w:rPr>
          <w:rFonts w:ascii="IBM Plex Sans" w:hAnsi="IBM Plex Sans" w:cs="Arial"/>
        </w:rPr>
        <w:t xml:space="preserve"> sobre la esfera de acción de </w:t>
      </w:r>
      <w:r w:rsidR="00485F22" w:rsidRPr="00345DAA">
        <w:rPr>
          <w:rFonts w:ascii="IBM Plex Sans" w:hAnsi="IBM Plex Sans" w:cs="Arial"/>
        </w:rPr>
        <w:t xml:space="preserve">las personas, las empresas y las comunidades </w:t>
      </w:r>
      <w:r w:rsidRPr="00345DAA">
        <w:rPr>
          <w:rFonts w:ascii="IBM Plex Sans" w:hAnsi="IBM Plex Sans" w:cs="Arial"/>
        </w:rPr>
        <w:t xml:space="preserve">(vida social, económica, política y/o ambiental); 3) tercer nivel, </w:t>
      </w:r>
      <w:r w:rsidR="00F5143F" w:rsidRPr="00345DAA">
        <w:rPr>
          <w:rFonts w:ascii="IBM Plex Sans" w:hAnsi="IBM Plex Sans" w:cs="Arial"/>
        </w:rPr>
        <w:t>efecto</w:t>
      </w:r>
      <w:r w:rsidRPr="00345DAA">
        <w:rPr>
          <w:rFonts w:ascii="IBM Plex Sans" w:hAnsi="IBM Plex Sans" w:cs="Arial"/>
        </w:rPr>
        <w:t xml:space="preserve"> sobre la administración pública; y 4) cuarto nivel, </w:t>
      </w:r>
      <w:r w:rsidR="00AC2614" w:rsidRPr="00345DAA">
        <w:rPr>
          <w:rFonts w:ascii="IBM Plex Sans" w:hAnsi="IBM Plex Sans" w:cs="Arial"/>
        </w:rPr>
        <w:t>efecto</w:t>
      </w:r>
      <w:r w:rsidRPr="00345DAA">
        <w:rPr>
          <w:rFonts w:ascii="IBM Plex Sans" w:hAnsi="IBM Plex Sans" w:cs="Arial"/>
        </w:rPr>
        <w:t xml:space="preserve"> no identificad</w:t>
      </w:r>
      <w:r w:rsidR="00AC2614" w:rsidRPr="00345DAA">
        <w:rPr>
          <w:rFonts w:ascii="IBM Plex Sans" w:hAnsi="IBM Plex Sans" w:cs="Arial"/>
        </w:rPr>
        <w:t>o</w:t>
      </w:r>
      <w:r w:rsidRPr="00345DAA">
        <w:rPr>
          <w:rFonts w:ascii="IBM Plex Sans" w:hAnsi="IBM Plex Sans" w:cs="Arial"/>
        </w:rPr>
        <w:t>. En el gráfico 1, se observan los cuatro niveles de</w:t>
      </w:r>
      <w:r w:rsidR="00360B07" w:rsidRPr="00345DAA">
        <w:rPr>
          <w:rFonts w:ascii="IBM Plex Sans" w:hAnsi="IBM Plex Sans" w:cs="Arial"/>
        </w:rPr>
        <w:t>l efecto de la medida</w:t>
      </w:r>
      <w:r w:rsidRPr="00345DAA">
        <w:rPr>
          <w:rFonts w:ascii="IBM Plex Sans" w:hAnsi="IBM Plex Sans" w:cs="Arial"/>
        </w:rPr>
        <w:t>.</w:t>
      </w:r>
    </w:p>
    <w:p w14:paraId="19834490" w14:textId="5E50A05F" w:rsidR="004A02F1" w:rsidRPr="00345DAA" w:rsidRDefault="004A02F1" w:rsidP="00345DAA">
      <w:pPr>
        <w:spacing w:line="360" w:lineRule="auto"/>
        <w:rPr>
          <w:rFonts w:ascii="IBM Plex Sans Light" w:hAnsi="IBM Plex Sans Light" w:cs="Arial"/>
          <w:b/>
          <w:bCs/>
        </w:rPr>
      </w:pPr>
      <w:r w:rsidRPr="00345DAA">
        <w:rPr>
          <w:rFonts w:ascii="IBM Plex Sans Light" w:hAnsi="IBM Plex Sans Light" w:cs="Arial"/>
          <w:b/>
          <w:bCs/>
        </w:rPr>
        <w:t xml:space="preserve">Gráfico 1. Niveles de </w:t>
      </w:r>
      <w:r w:rsidR="002A6B72" w:rsidRPr="00345DAA">
        <w:rPr>
          <w:rFonts w:ascii="IBM Plex Sans Light" w:hAnsi="IBM Plex Sans Light" w:cs="Arial"/>
          <w:b/>
          <w:bCs/>
        </w:rPr>
        <w:t xml:space="preserve">los </w:t>
      </w:r>
      <w:r w:rsidR="00F000FB" w:rsidRPr="00345DAA">
        <w:rPr>
          <w:rFonts w:ascii="IBM Plex Sans Light" w:hAnsi="IBM Plex Sans Light" w:cs="Arial"/>
          <w:b/>
          <w:bCs/>
        </w:rPr>
        <w:t>efecto</w:t>
      </w:r>
      <w:r w:rsidR="002A6B72" w:rsidRPr="00345DAA">
        <w:rPr>
          <w:rFonts w:ascii="IBM Plex Sans Light" w:hAnsi="IBM Plex Sans Light" w:cs="Arial"/>
          <w:b/>
          <w:bCs/>
        </w:rPr>
        <w:t>s</w:t>
      </w:r>
      <w:r w:rsidR="00F000FB" w:rsidRPr="00345DAA">
        <w:rPr>
          <w:rFonts w:ascii="IBM Plex Sans Light" w:hAnsi="IBM Plex Sans Light" w:cs="Arial"/>
          <w:b/>
          <w:bCs/>
        </w:rPr>
        <w:t xml:space="preserve"> de la medida</w:t>
      </w:r>
      <w:r w:rsidRPr="00345DAA">
        <w:rPr>
          <w:rFonts w:ascii="IBM Plex Sans Light" w:hAnsi="IBM Plex Sans Light" w:cs="Arial"/>
          <w:b/>
          <w:bCs/>
        </w:rPr>
        <w:t>.</w:t>
      </w:r>
    </w:p>
    <w:p w14:paraId="5BEA12B7" w14:textId="77777777" w:rsidR="004A02F1" w:rsidRPr="0028735A" w:rsidRDefault="004A02F1" w:rsidP="004A02F1">
      <w:pPr>
        <w:spacing w:line="360" w:lineRule="auto"/>
        <w:jc w:val="both"/>
        <w:rPr>
          <w:rFonts w:ascii="Arial" w:hAnsi="Arial" w:cs="Arial"/>
        </w:rPr>
      </w:pPr>
      <w:r w:rsidRPr="0028735A">
        <w:rPr>
          <w:rFonts w:ascii="Arial" w:hAnsi="Arial" w:cs="Arial"/>
          <w:noProof/>
        </w:rPr>
        <w:lastRenderedPageBreak/>
        <w:drawing>
          <wp:inline distT="0" distB="0" distL="0" distR="0" wp14:anchorId="090B0060" wp14:editId="1F80B584">
            <wp:extent cx="5035713" cy="327705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 1.png"/>
                    <pic:cNvPicPr/>
                  </pic:nvPicPr>
                  <pic:blipFill>
                    <a:blip r:embed="rId9">
                      <a:extLst>
                        <a:ext uri="{28A0092B-C50C-407E-A947-70E740481C1C}">
                          <a14:useLocalDpi xmlns:a14="http://schemas.microsoft.com/office/drawing/2010/main" val="0"/>
                        </a:ext>
                      </a:extLst>
                    </a:blip>
                    <a:stretch>
                      <a:fillRect/>
                    </a:stretch>
                  </pic:blipFill>
                  <pic:spPr>
                    <a:xfrm>
                      <a:off x="0" y="0"/>
                      <a:ext cx="5035713" cy="3277057"/>
                    </a:xfrm>
                    <a:prstGeom prst="rect">
                      <a:avLst/>
                    </a:prstGeom>
                  </pic:spPr>
                </pic:pic>
              </a:graphicData>
            </a:graphic>
          </wp:inline>
        </w:drawing>
      </w:r>
    </w:p>
    <w:p w14:paraId="3DDCDE7B" w14:textId="77777777" w:rsidR="004A02F1" w:rsidRPr="00345DAA" w:rsidRDefault="004A02F1" w:rsidP="00345DAA">
      <w:pPr>
        <w:spacing w:line="240" w:lineRule="auto"/>
        <w:jc w:val="both"/>
        <w:rPr>
          <w:rFonts w:ascii="IBM Plex Sans Light" w:hAnsi="IBM Plex Sans Light" w:cs="Arial"/>
          <w:sz w:val="18"/>
          <w:szCs w:val="18"/>
        </w:rPr>
      </w:pPr>
      <w:r w:rsidRPr="00345DAA">
        <w:rPr>
          <w:rFonts w:ascii="IBM Plex Sans Light" w:hAnsi="IBM Plex Sans Light" w:cs="Arial"/>
          <w:sz w:val="18"/>
          <w:szCs w:val="18"/>
        </w:rPr>
        <w:t>Fuente: Elaboración propia.</w:t>
      </w:r>
    </w:p>
    <w:p w14:paraId="5D4FF304" w14:textId="77777777" w:rsidR="004A02F1" w:rsidRPr="00D00988" w:rsidRDefault="004A02F1" w:rsidP="00D00988">
      <w:pPr>
        <w:spacing w:line="240" w:lineRule="auto"/>
        <w:jc w:val="both"/>
        <w:rPr>
          <w:rFonts w:ascii="IBM Plex Sans" w:hAnsi="IBM Plex Sans" w:cs="Arial"/>
        </w:rPr>
      </w:pPr>
    </w:p>
    <w:p w14:paraId="5F2AD497" w14:textId="6CC85A43" w:rsidR="004A02F1" w:rsidRPr="00D00988" w:rsidRDefault="004A02F1" w:rsidP="00D00988">
      <w:pPr>
        <w:spacing w:line="240" w:lineRule="auto"/>
        <w:jc w:val="both"/>
        <w:rPr>
          <w:rFonts w:ascii="IBM Plex Sans" w:hAnsi="IBM Plex Sans" w:cs="Arial"/>
        </w:rPr>
      </w:pPr>
      <w:r w:rsidRPr="00D00988">
        <w:rPr>
          <w:rFonts w:ascii="IBM Plex Sans" w:hAnsi="IBM Plex Sans" w:cs="Arial"/>
        </w:rPr>
        <w:t xml:space="preserve">En el cuadro </w:t>
      </w:r>
      <w:r w:rsidR="001B6820" w:rsidRPr="00D00988">
        <w:rPr>
          <w:rFonts w:ascii="IBM Plex Sans" w:hAnsi="IBM Plex Sans" w:cs="Arial"/>
        </w:rPr>
        <w:t>4</w:t>
      </w:r>
      <w:r w:rsidRPr="00D00988">
        <w:rPr>
          <w:rFonts w:ascii="IBM Plex Sans" w:hAnsi="IBM Plex Sans" w:cs="Arial"/>
        </w:rPr>
        <w:t xml:space="preserve">, se detallan los tipos de </w:t>
      </w:r>
      <w:r w:rsidR="00DA03E0" w:rsidRPr="00D00988">
        <w:rPr>
          <w:rFonts w:ascii="IBM Plex Sans" w:hAnsi="IBM Plex Sans" w:cs="Arial"/>
        </w:rPr>
        <w:t>efecto</w:t>
      </w:r>
      <w:r w:rsidRPr="00D00988">
        <w:rPr>
          <w:rFonts w:ascii="IBM Plex Sans" w:hAnsi="IBM Plex Sans" w:cs="Arial"/>
        </w:rPr>
        <w:t xml:space="preserve"> y su definición, asimismo, los subtipos de medidas correspondientes a cada tipo de </w:t>
      </w:r>
      <w:r w:rsidR="002D08F0" w:rsidRPr="00D00988">
        <w:rPr>
          <w:rFonts w:ascii="IBM Plex Sans" w:hAnsi="IBM Plex Sans" w:cs="Arial"/>
        </w:rPr>
        <w:t>efecto</w:t>
      </w:r>
      <w:r w:rsidRPr="00D00988">
        <w:rPr>
          <w:rFonts w:ascii="IBM Plex Sans" w:hAnsi="IBM Plex Sans" w:cs="Arial"/>
        </w:rPr>
        <w:t xml:space="preserve">. Es importante aclarar que el investigador o la investigadora debe registrar en la base de datos, las categorías que aparecen en la columna izquierda (de color azul oscuro) del cuadro </w:t>
      </w:r>
      <w:r w:rsidR="001B6820" w:rsidRPr="00D00988">
        <w:rPr>
          <w:rFonts w:ascii="IBM Plex Sans" w:hAnsi="IBM Plex Sans" w:cs="Arial"/>
        </w:rPr>
        <w:t>4</w:t>
      </w:r>
      <w:r w:rsidRPr="00D00988">
        <w:rPr>
          <w:rFonts w:ascii="IBM Plex Sans" w:hAnsi="IBM Plex Sans" w:cs="Arial"/>
        </w:rPr>
        <w:t>.</w:t>
      </w:r>
    </w:p>
    <w:p w14:paraId="092A9387" w14:textId="770FB0CA" w:rsidR="004A02F1" w:rsidRPr="00D00988" w:rsidRDefault="004A02F1" w:rsidP="002060AF">
      <w:pPr>
        <w:spacing w:after="0" w:line="360" w:lineRule="auto"/>
        <w:jc w:val="both"/>
        <w:rPr>
          <w:rFonts w:ascii="IBM Plex Sans Light" w:hAnsi="IBM Plex Sans Light" w:cs="Arial"/>
          <w:b/>
          <w:bCs/>
        </w:rPr>
      </w:pPr>
      <w:r w:rsidRPr="00D00988">
        <w:rPr>
          <w:rFonts w:ascii="IBM Plex Sans Light" w:hAnsi="IBM Plex Sans Light" w:cs="Arial"/>
          <w:b/>
          <w:bCs/>
        </w:rPr>
        <w:t xml:space="preserve">Cuadro </w:t>
      </w:r>
      <w:r w:rsidR="001B6820" w:rsidRPr="00D00988">
        <w:rPr>
          <w:rFonts w:ascii="IBM Plex Sans Light" w:hAnsi="IBM Plex Sans Light" w:cs="Arial"/>
          <w:b/>
          <w:bCs/>
        </w:rPr>
        <w:t>4</w:t>
      </w:r>
      <w:r w:rsidRPr="00D00988">
        <w:rPr>
          <w:rFonts w:ascii="IBM Plex Sans Light" w:hAnsi="IBM Plex Sans Light" w:cs="Arial"/>
          <w:b/>
          <w:bCs/>
        </w:rPr>
        <w:t xml:space="preserve">. Tipos de </w:t>
      </w:r>
      <w:r w:rsidR="001C6A98" w:rsidRPr="00D00988">
        <w:rPr>
          <w:rFonts w:ascii="IBM Plex Sans Light" w:hAnsi="IBM Plex Sans Light" w:cs="Arial"/>
          <w:b/>
          <w:bCs/>
        </w:rPr>
        <w:t>efecto</w:t>
      </w:r>
      <w:r w:rsidRPr="00D00988">
        <w:rPr>
          <w:rFonts w:ascii="IBM Plex Sans Light" w:hAnsi="IBM Plex Sans Light" w:cs="Arial"/>
          <w:b/>
          <w:bCs/>
        </w:rPr>
        <w:t>.</w:t>
      </w:r>
    </w:p>
    <w:tbl>
      <w:tblPr>
        <w:tblStyle w:val="Tablaconcuadrcula5oscura-nfasis1"/>
        <w:tblW w:w="0" w:type="auto"/>
        <w:tblLook w:val="04A0" w:firstRow="1" w:lastRow="0" w:firstColumn="1" w:lastColumn="0" w:noHBand="0" w:noVBand="1"/>
      </w:tblPr>
      <w:tblGrid>
        <w:gridCol w:w="1372"/>
        <w:gridCol w:w="3277"/>
        <w:gridCol w:w="3845"/>
      </w:tblGrid>
      <w:tr w:rsidR="004A02F1" w:rsidRPr="004A02F1" w14:paraId="46E93C99" w14:textId="77777777" w:rsidTr="003818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002060"/>
            <w:vAlign w:val="center"/>
          </w:tcPr>
          <w:p w14:paraId="416A6062" w14:textId="75BF0CA9" w:rsidR="004A02F1" w:rsidRPr="004C7C78" w:rsidRDefault="004A02F1" w:rsidP="00B8067B">
            <w:pPr>
              <w:pStyle w:val="Sinespaciado"/>
              <w:rPr>
                <w:rFonts w:ascii="IBM Plex Sans" w:hAnsi="IBM Plex Sans" w:cs="Arial"/>
                <w:sz w:val="20"/>
                <w:szCs w:val="20"/>
                <w:lang w:val="es-CR"/>
              </w:rPr>
            </w:pPr>
            <w:r w:rsidRPr="004C7C78">
              <w:rPr>
                <w:rFonts w:ascii="IBM Plex Sans" w:hAnsi="IBM Plex Sans" w:cs="Arial"/>
                <w:sz w:val="20"/>
                <w:szCs w:val="20"/>
                <w:lang w:val="es-CR"/>
              </w:rPr>
              <w:t xml:space="preserve">Tipo de </w:t>
            </w:r>
            <w:r w:rsidR="002D08F0" w:rsidRPr="004C7C78">
              <w:rPr>
                <w:rFonts w:ascii="IBM Plex Sans" w:hAnsi="IBM Plex Sans" w:cs="Arial"/>
                <w:sz w:val="20"/>
                <w:szCs w:val="20"/>
                <w:lang w:val="es-CR"/>
              </w:rPr>
              <w:t>efecto</w:t>
            </w:r>
          </w:p>
        </w:tc>
        <w:tc>
          <w:tcPr>
            <w:tcW w:w="3402" w:type="dxa"/>
            <w:shd w:val="clear" w:color="auto" w:fill="002060"/>
            <w:vAlign w:val="center"/>
          </w:tcPr>
          <w:p w14:paraId="29006E3D" w14:textId="0FBE441D" w:rsidR="004A02F1" w:rsidRPr="004C7C78" w:rsidRDefault="004A02F1" w:rsidP="004C7C78">
            <w:pPr>
              <w:pStyle w:val="Sinespaciado"/>
              <w:cnfStyle w:val="100000000000" w:firstRow="1" w:lastRow="0" w:firstColumn="0" w:lastColumn="0" w:oddVBand="0" w:evenVBand="0" w:oddHBand="0" w:evenHBand="0" w:firstRowFirstColumn="0" w:firstRowLastColumn="0" w:lastRowFirstColumn="0" w:lastRowLastColumn="0"/>
              <w:rPr>
                <w:rFonts w:ascii="IBM Plex Sans" w:hAnsi="IBM Plex Sans" w:cs="Arial"/>
                <w:sz w:val="20"/>
                <w:szCs w:val="20"/>
                <w:lang w:val="es-CR"/>
              </w:rPr>
            </w:pPr>
            <w:r w:rsidRPr="004C7C78">
              <w:rPr>
                <w:rFonts w:ascii="IBM Plex Sans" w:hAnsi="IBM Plex Sans" w:cs="Arial"/>
                <w:sz w:val="20"/>
                <w:szCs w:val="20"/>
                <w:lang w:val="es-CR"/>
              </w:rPr>
              <w:t xml:space="preserve">Definición del tipo de </w:t>
            </w:r>
            <w:r w:rsidR="002D08F0" w:rsidRPr="004C7C78">
              <w:rPr>
                <w:rFonts w:ascii="IBM Plex Sans" w:hAnsi="IBM Plex Sans" w:cs="Arial"/>
                <w:sz w:val="20"/>
                <w:szCs w:val="20"/>
                <w:lang w:val="es-CR"/>
              </w:rPr>
              <w:t>efecto</w:t>
            </w:r>
          </w:p>
        </w:tc>
        <w:tc>
          <w:tcPr>
            <w:tcW w:w="4013" w:type="dxa"/>
            <w:shd w:val="clear" w:color="auto" w:fill="002060"/>
            <w:vAlign w:val="center"/>
          </w:tcPr>
          <w:p w14:paraId="1091DD73" w14:textId="77777777" w:rsidR="004A02F1" w:rsidRPr="004C7C78" w:rsidRDefault="004A02F1" w:rsidP="004C7C78">
            <w:pPr>
              <w:pStyle w:val="Sinespaciado"/>
              <w:cnfStyle w:val="100000000000" w:firstRow="1" w:lastRow="0" w:firstColumn="0" w:lastColumn="0" w:oddVBand="0" w:evenVBand="0" w:oddHBand="0" w:evenHBand="0" w:firstRowFirstColumn="0" w:firstRowLastColumn="0" w:lastRowFirstColumn="0" w:lastRowLastColumn="0"/>
              <w:rPr>
                <w:rFonts w:ascii="IBM Plex Sans" w:hAnsi="IBM Plex Sans" w:cs="Arial"/>
                <w:sz w:val="20"/>
                <w:szCs w:val="20"/>
                <w:lang w:val="es-CR"/>
              </w:rPr>
            </w:pPr>
            <w:r w:rsidRPr="004C7C78">
              <w:rPr>
                <w:rFonts w:ascii="IBM Plex Sans" w:hAnsi="IBM Plex Sans" w:cs="Arial"/>
                <w:sz w:val="20"/>
                <w:szCs w:val="20"/>
                <w:lang w:val="es-CR"/>
              </w:rPr>
              <w:t>Subtipos de medidas incluidos</w:t>
            </w:r>
          </w:p>
        </w:tc>
      </w:tr>
      <w:tr w:rsidR="004A02F1" w:rsidRPr="004A02F1" w14:paraId="4B09D487" w14:textId="77777777" w:rsidTr="00381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002060"/>
          </w:tcPr>
          <w:p w14:paraId="7CC69FC8" w14:textId="77777777" w:rsidR="004A02F1" w:rsidRPr="004C7C78" w:rsidRDefault="004A02F1" w:rsidP="00B8067B">
            <w:pPr>
              <w:pStyle w:val="Sinespaciado"/>
              <w:rPr>
                <w:rFonts w:ascii="IBM Plex Sans" w:hAnsi="IBM Plex Sans" w:cs="Arial"/>
                <w:sz w:val="20"/>
                <w:szCs w:val="20"/>
                <w:lang w:val="es-CR"/>
              </w:rPr>
            </w:pPr>
            <w:r w:rsidRPr="004C7C78">
              <w:rPr>
                <w:rFonts w:ascii="IBM Plex Sans" w:hAnsi="IBM Plex Sans" w:cs="Arial"/>
                <w:sz w:val="20"/>
                <w:szCs w:val="20"/>
                <w:lang w:val="es-CR"/>
              </w:rPr>
              <w:t>Muy alto</w:t>
            </w:r>
          </w:p>
        </w:tc>
        <w:tc>
          <w:tcPr>
            <w:tcW w:w="3402" w:type="dxa"/>
          </w:tcPr>
          <w:p w14:paraId="6AECB291" w14:textId="228EF624" w:rsidR="004A02F1" w:rsidRPr="004C7C78" w:rsidRDefault="004A02F1" w:rsidP="004C7C78">
            <w:pPr>
              <w:pStyle w:val="Sinespaciado"/>
              <w:jc w:val="both"/>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lang w:val="es-CR"/>
              </w:rPr>
            </w:pPr>
            <w:r w:rsidRPr="004C7C78">
              <w:rPr>
                <w:rFonts w:ascii="IBM Plex Sans" w:hAnsi="IBM Plex Sans" w:cs="Arial"/>
                <w:sz w:val="20"/>
                <w:szCs w:val="20"/>
                <w:lang w:val="es-CR"/>
              </w:rPr>
              <w:t>Medidas</w:t>
            </w:r>
            <w:r w:rsidR="00DF7486" w:rsidRPr="004C7C78">
              <w:rPr>
                <w:rFonts w:ascii="IBM Plex Sans" w:hAnsi="IBM Plex Sans" w:cs="Arial"/>
                <w:sz w:val="20"/>
                <w:szCs w:val="20"/>
                <w:lang w:val="es-CR"/>
              </w:rPr>
              <w:t xml:space="preserve"> </w:t>
            </w:r>
            <w:r w:rsidR="00C97E87" w:rsidRPr="004C7C78">
              <w:rPr>
                <w:rFonts w:ascii="IBM Plex Sans" w:hAnsi="IBM Plex Sans" w:cs="Arial"/>
                <w:sz w:val="20"/>
                <w:szCs w:val="20"/>
                <w:lang w:val="es-CR"/>
              </w:rPr>
              <w:t>con</w:t>
            </w:r>
            <w:r w:rsidR="00DF7486" w:rsidRPr="004C7C78">
              <w:rPr>
                <w:rFonts w:ascii="IBM Plex Sans" w:hAnsi="IBM Plex Sans" w:cs="Arial"/>
                <w:sz w:val="20"/>
                <w:szCs w:val="20"/>
                <w:lang w:val="es-CR"/>
              </w:rPr>
              <w:t xml:space="preserve"> efectos directos sobre</w:t>
            </w:r>
            <w:r w:rsidRPr="004C7C78">
              <w:rPr>
                <w:rFonts w:ascii="IBM Plex Sans" w:hAnsi="IBM Plex Sans" w:cs="Arial"/>
                <w:sz w:val="20"/>
                <w:szCs w:val="20"/>
                <w:lang w:val="es-CR"/>
              </w:rPr>
              <w:t xml:space="preserve"> los derechos fundamentales de las personas (por ejemplo: derecho al libre tránsito, derecho al trabajo, derecho a la educación, entre otros).</w:t>
            </w:r>
          </w:p>
        </w:tc>
        <w:tc>
          <w:tcPr>
            <w:tcW w:w="4013" w:type="dxa"/>
          </w:tcPr>
          <w:p w14:paraId="158B48B5" w14:textId="77777777" w:rsidR="004A02F1" w:rsidRPr="004C7C78" w:rsidRDefault="004A02F1" w:rsidP="004C7C78">
            <w:pPr>
              <w:pStyle w:val="Sinespaciado"/>
              <w:numPr>
                <w:ilvl w:val="0"/>
                <w:numId w:val="23"/>
              </w:num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lang w:val="es-CR"/>
              </w:rPr>
            </w:pPr>
            <w:r w:rsidRPr="004C7C78">
              <w:rPr>
                <w:rFonts w:ascii="IBM Plex Sans" w:hAnsi="IBM Plex Sans" w:cs="Arial"/>
                <w:sz w:val="20"/>
                <w:szCs w:val="20"/>
                <w:lang w:val="es-CR"/>
              </w:rPr>
              <w:t>Reactivaciones de espacio público</w:t>
            </w:r>
          </w:p>
          <w:p w14:paraId="1B710E1D" w14:textId="1956EC91" w:rsidR="004A02F1" w:rsidRPr="004C7C78" w:rsidRDefault="004A02F1" w:rsidP="004C7C78">
            <w:pPr>
              <w:pStyle w:val="Sinespaciado"/>
              <w:numPr>
                <w:ilvl w:val="0"/>
                <w:numId w:val="23"/>
              </w:num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lang w:val="es-CR"/>
              </w:rPr>
            </w:pPr>
            <w:r w:rsidRPr="004C7C78">
              <w:rPr>
                <w:rFonts w:ascii="IBM Plex Sans" w:hAnsi="IBM Plex Sans" w:cs="Arial"/>
                <w:sz w:val="20"/>
                <w:szCs w:val="20"/>
                <w:lang w:val="es-CR"/>
              </w:rPr>
              <w:t>Reactivaciones de</w:t>
            </w:r>
            <w:r w:rsidR="00C6797D" w:rsidRPr="004C7C78">
              <w:rPr>
                <w:rFonts w:ascii="IBM Plex Sans" w:hAnsi="IBM Plex Sans" w:cs="Arial"/>
                <w:sz w:val="20"/>
                <w:szCs w:val="20"/>
                <w:lang w:val="es-CR"/>
              </w:rPr>
              <w:t xml:space="preserve"> la actividad</w:t>
            </w:r>
            <w:r w:rsidRPr="004C7C78">
              <w:rPr>
                <w:rFonts w:ascii="IBM Plex Sans" w:hAnsi="IBM Plex Sans" w:cs="Arial"/>
                <w:sz w:val="20"/>
                <w:szCs w:val="20"/>
                <w:lang w:val="es-CR"/>
              </w:rPr>
              <w:t xml:space="preserve"> económic</w:t>
            </w:r>
            <w:r w:rsidR="00C6797D" w:rsidRPr="004C7C78">
              <w:rPr>
                <w:rFonts w:ascii="IBM Plex Sans" w:hAnsi="IBM Plex Sans" w:cs="Arial"/>
                <w:sz w:val="20"/>
                <w:szCs w:val="20"/>
                <w:lang w:val="es-CR"/>
              </w:rPr>
              <w:t>a</w:t>
            </w:r>
            <w:r w:rsidRPr="004C7C78">
              <w:rPr>
                <w:rFonts w:ascii="IBM Plex Sans" w:hAnsi="IBM Plex Sans" w:cs="Arial"/>
                <w:sz w:val="20"/>
                <w:szCs w:val="20"/>
                <w:lang w:val="es-CR"/>
              </w:rPr>
              <w:t xml:space="preserve"> y laboral</w:t>
            </w:r>
          </w:p>
          <w:p w14:paraId="5B373784" w14:textId="77777777" w:rsidR="004A02F1" w:rsidRPr="004C7C78" w:rsidRDefault="004A02F1" w:rsidP="004C7C78">
            <w:pPr>
              <w:pStyle w:val="Sinespaciado"/>
              <w:numPr>
                <w:ilvl w:val="0"/>
                <w:numId w:val="23"/>
              </w:num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lang w:val="es-CR"/>
              </w:rPr>
            </w:pPr>
            <w:r w:rsidRPr="004C7C78">
              <w:rPr>
                <w:rFonts w:ascii="IBM Plex Sans" w:hAnsi="IBM Plex Sans" w:cs="Arial"/>
                <w:sz w:val="20"/>
                <w:szCs w:val="20"/>
                <w:lang w:val="es-CR"/>
              </w:rPr>
              <w:t>Reactivaciones de movilidad</w:t>
            </w:r>
          </w:p>
          <w:p w14:paraId="705999A4" w14:textId="77777777" w:rsidR="004A02F1" w:rsidRPr="004C7C78" w:rsidRDefault="004A02F1" w:rsidP="004C7C78">
            <w:pPr>
              <w:pStyle w:val="Sinespaciado"/>
              <w:numPr>
                <w:ilvl w:val="0"/>
                <w:numId w:val="23"/>
              </w:num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lang w:val="es-CR"/>
              </w:rPr>
            </w:pPr>
            <w:r w:rsidRPr="004C7C78">
              <w:rPr>
                <w:rFonts w:ascii="IBM Plex Sans" w:hAnsi="IBM Plex Sans" w:cs="Arial"/>
                <w:sz w:val="20"/>
                <w:szCs w:val="20"/>
                <w:lang w:val="es-CR"/>
              </w:rPr>
              <w:t>Restricciones de espacio público</w:t>
            </w:r>
          </w:p>
          <w:p w14:paraId="38682EDA" w14:textId="4DE2EBB5" w:rsidR="004A02F1" w:rsidRPr="004C7C78" w:rsidRDefault="004A02F1" w:rsidP="004C7C78">
            <w:pPr>
              <w:pStyle w:val="Sinespaciado"/>
              <w:numPr>
                <w:ilvl w:val="0"/>
                <w:numId w:val="23"/>
              </w:num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lang w:val="es-CR"/>
              </w:rPr>
            </w:pPr>
            <w:r w:rsidRPr="004C7C78">
              <w:rPr>
                <w:rFonts w:ascii="IBM Plex Sans" w:hAnsi="IBM Plex Sans" w:cs="Arial"/>
                <w:sz w:val="20"/>
                <w:szCs w:val="20"/>
                <w:lang w:val="es-CR"/>
              </w:rPr>
              <w:t xml:space="preserve">Restricciones de </w:t>
            </w:r>
            <w:r w:rsidR="00D778A3" w:rsidRPr="004C7C78">
              <w:rPr>
                <w:rFonts w:ascii="IBM Plex Sans" w:hAnsi="IBM Plex Sans" w:cs="Arial"/>
                <w:sz w:val="20"/>
                <w:szCs w:val="20"/>
                <w:lang w:val="es-CR"/>
              </w:rPr>
              <w:t>la actividad económica</w:t>
            </w:r>
            <w:r w:rsidRPr="004C7C78">
              <w:rPr>
                <w:rFonts w:ascii="IBM Plex Sans" w:hAnsi="IBM Plex Sans" w:cs="Arial"/>
                <w:sz w:val="20"/>
                <w:szCs w:val="20"/>
                <w:lang w:val="es-CR"/>
              </w:rPr>
              <w:t xml:space="preserve"> y laboral</w:t>
            </w:r>
          </w:p>
          <w:p w14:paraId="0FDA27DB" w14:textId="77777777" w:rsidR="004A02F1" w:rsidRPr="004C7C78" w:rsidRDefault="004A02F1" w:rsidP="004C7C78">
            <w:pPr>
              <w:pStyle w:val="Sinespaciado"/>
              <w:numPr>
                <w:ilvl w:val="0"/>
                <w:numId w:val="23"/>
              </w:num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lang w:val="es-CR"/>
              </w:rPr>
            </w:pPr>
            <w:r w:rsidRPr="004C7C78">
              <w:rPr>
                <w:rFonts w:ascii="IBM Plex Sans" w:hAnsi="IBM Plex Sans" w:cs="Arial"/>
                <w:sz w:val="20"/>
                <w:szCs w:val="20"/>
                <w:lang w:val="es-CR"/>
              </w:rPr>
              <w:t>Restricciones de movilidad</w:t>
            </w:r>
          </w:p>
          <w:p w14:paraId="3F37BB0D" w14:textId="6993A48C" w:rsidR="004A02F1" w:rsidRPr="004C7C78" w:rsidRDefault="004A02F1" w:rsidP="004C7C78">
            <w:pPr>
              <w:pStyle w:val="Sinespaciado"/>
              <w:numPr>
                <w:ilvl w:val="0"/>
                <w:numId w:val="23"/>
              </w:num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lang w:val="es-CR"/>
              </w:rPr>
            </w:pPr>
            <w:r w:rsidRPr="004C7C78">
              <w:rPr>
                <w:rFonts w:ascii="IBM Plex Sans" w:hAnsi="IBM Plex Sans" w:cs="Arial"/>
                <w:sz w:val="20"/>
                <w:szCs w:val="20"/>
                <w:lang w:val="es-CR"/>
              </w:rPr>
              <w:t xml:space="preserve">Suspensiones de </w:t>
            </w:r>
            <w:r w:rsidR="00D778A3" w:rsidRPr="004C7C78">
              <w:rPr>
                <w:rFonts w:ascii="IBM Plex Sans" w:hAnsi="IBM Plex Sans" w:cs="Arial"/>
                <w:sz w:val="20"/>
                <w:szCs w:val="20"/>
                <w:lang w:val="es-CR"/>
              </w:rPr>
              <w:t>la actividad económica</w:t>
            </w:r>
            <w:r w:rsidRPr="004C7C78">
              <w:rPr>
                <w:rFonts w:ascii="IBM Plex Sans" w:hAnsi="IBM Plex Sans" w:cs="Arial"/>
                <w:sz w:val="20"/>
                <w:szCs w:val="20"/>
                <w:lang w:val="es-CR"/>
              </w:rPr>
              <w:t xml:space="preserve"> y laboral</w:t>
            </w:r>
          </w:p>
          <w:p w14:paraId="580FA7EE" w14:textId="77777777" w:rsidR="004A02F1" w:rsidRPr="004C7C78" w:rsidRDefault="004A02F1" w:rsidP="004C7C78">
            <w:pPr>
              <w:pStyle w:val="Sinespaciado"/>
              <w:numPr>
                <w:ilvl w:val="0"/>
                <w:numId w:val="23"/>
              </w:num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lang w:val="es-CR"/>
              </w:rPr>
            </w:pPr>
            <w:r w:rsidRPr="004C7C78">
              <w:rPr>
                <w:rFonts w:ascii="IBM Plex Sans" w:hAnsi="IBM Plex Sans" w:cs="Arial"/>
                <w:sz w:val="20"/>
                <w:szCs w:val="20"/>
                <w:lang w:val="es-CR"/>
              </w:rPr>
              <w:t>Suspensiones de servicios de capacitación y formación profesional</w:t>
            </w:r>
          </w:p>
          <w:p w14:paraId="6BAA36DE" w14:textId="77777777" w:rsidR="004A02F1" w:rsidRPr="004C7C78" w:rsidRDefault="004A02F1" w:rsidP="004C7C78">
            <w:pPr>
              <w:pStyle w:val="Sinespaciado"/>
              <w:numPr>
                <w:ilvl w:val="0"/>
                <w:numId w:val="23"/>
              </w:num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lang w:val="es-CR"/>
              </w:rPr>
            </w:pPr>
            <w:r w:rsidRPr="004C7C78">
              <w:rPr>
                <w:rFonts w:ascii="IBM Plex Sans" w:hAnsi="IBM Plex Sans" w:cs="Arial"/>
                <w:sz w:val="20"/>
                <w:szCs w:val="20"/>
                <w:lang w:val="es-CR"/>
              </w:rPr>
              <w:t>Suspensiones de espacio público</w:t>
            </w:r>
          </w:p>
          <w:p w14:paraId="7C07C194" w14:textId="77777777" w:rsidR="004A02F1" w:rsidRPr="004C7C78" w:rsidRDefault="004A02F1" w:rsidP="004C7C78">
            <w:pPr>
              <w:pStyle w:val="Sinespaciado"/>
              <w:numPr>
                <w:ilvl w:val="0"/>
                <w:numId w:val="23"/>
              </w:num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lang w:val="es-CR"/>
              </w:rPr>
            </w:pPr>
            <w:r w:rsidRPr="004C7C78">
              <w:rPr>
                <w:rFonts w:ascii="IBM Plex Sans" w:hAnsi="IBM Plex Sans" w:cs="Arial"/>
                <w:sz w:val="20"/>
                <w:szCs w:val="20"/>
                <w:lang w:val="es-CR"/>
              </w:rPr>
              <w:t>Otras reactivaciones</w:t>
            </w:r>
          </w:p>
          <w:p w14:paraId="509A505D" w14:textId="77777777" w:rsidR="004A02F1" w:rsidRPr="004C7C78" w:rsidRDefault="004A02F1" w:rsidP="004C7C78">
            <w:pPr>
              <w:pStyle w:val="Sinespaciado"/>
              <w:numPr>
                <w:ilvl w:val="0"/>
                <w:numId w:val="23"/>
              </w:num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lang w:val="es-CR"/>
              </w:rPr>
            </w:pPr>
            <w:r w:rsidRPr="004C7C78">
              <w:rPr>
                <w:rFonts w:ascii="IBM Plex Sans" w:hAnsi="IBM Plex Sans" w:cs="Arial"/>
                <w:sz w:val="20"/>
                <w:szCs w:val="20"/>
                <w:lang w:val="es-CR"/>
              </w:rPr>
              <w:t>Otras suspensiones</w:t>
            </w:r>
          </w:p>
        </w:tc>
      </w:tr>
      <w:tr w:rsidR="004A02F1" w:rsidRPr="004A02F1" w14:paraId="5E5FA34A" w14:textId="77777777" w:rsidTr="00381867">
        <w:tc>
          <w:tcPr>
            <w:cnfStyle w:val="001000000000" w:firstRow="0" w:lastRow="0" w:firstColumn="1" w:lastColumn="0" w:oddVBand="0" w:evenVBand="0" w:oddHBand="0" w:evenHBand="0" w:firstRowFirstColumn="0" w:firstRowLastColumn="0" w:lastRowFirstColumn="0" w:lastRowLastColumn="0"/>
            <w:tcW w:w="1413" w:type="dxa"/>
            <w:shd w:val="clear" w:color="auto" w:fill="002060"/>
          </w:tcPr>
          <w:p w14:paraId="532B2997" w14:textId="77777777" w:rsidR="004A02F1" w:rsidRPr="004C7C78" w:rsidRDefault="004A02F1" w:rsidP="00B8067B">
            <w:pPr>
              <w:pStyle w:val="Sinespaciado"/>
              <w:rPr>
                <w:rFonts w:ascii="IBM Plex Sans" w:hAnsi="IBM Plex Sans" w:cs="Arial"/>
                <w:sz w:val="20"/>
                <w:szCs w:val="20"/>
                <w:lang w:val="es-CR"/>
              </w:rPr>
            </w:pPr>
            <w:r w:rsidRPr="004C7C78">
              <w:rPr>
                <w:rFonts w:ascii="IBM Plex Sans" w:hAnsi="IBM Plex Sans" w:cs="Arial"/>
                <w:sz w:val="20"/>
                <w:szCs w:val="20"/>
                <w:lang w:val="es-CR"/>
              </w:rPr>
              <w:t>Alto</w:t>
            </w:r>
          </w:p>
        </w:tc>
        <w:tc>
          <w:tcPr>
            <w:tcW w:w="3402" w:type="dxa"/>
          </w:tcPr>
          <w:p w14:paraId="39E76AEF" w14:textId="4FF2653E" w:rsidR="004A02F1" w:rsidRPr="004C7C78" w:rsidRDefault="004A02F1" w:rsidP="004C7C78">
            <w:pPr>
              <w:pStyle w:val="Sinespaciado"/>
              <w:jc w:val="both"/>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lang w:val="es-CR"/>
              </w:rPr>
            </w:pPr>
            <w:r w:rsidRPr="004C7C78">
              <w:rPr>
                <w:rFonts w:ascii="IBM Plex Sans" w:hAnsi="IBM Plex Sans" w:cs="Arial"/>
                <w:sz w:val="20"/>
                <w:szCs w:val="20"/>
                <w:lang w:val="es-CR"/>
              </w:rPr>
              <w:t xml:space="preserve">Medidas </w:t>
            </w:r>
            <w:r w:rsidR="00C5692F" w:rsidRPr="004C7C78">
              <w:rPr>
                <w:rFonts w:ascii="IBM Plex Sans" w:hAnsi="IBM Plex Sans" w:cs="Arial"/>
                <w:sz w:val="20"/>
                <w:szCs w:val="20"/>
                <w:lang w:val="es-CR"/>
              </w:rPr>
              <w:t>con efectos directos sobre</w:t>
            </w:r>
            <w:r w:rsidRPr="004C7C78">
              <w:rPr>
                <w:rFonts w:ascii="IBM Plex Sans" w:hAnsi="IBM Plex Sans" w:cs="Arial"/>
                <w:sz w:val="20"/>
                <w:szCs w:val="20"/>
                <w:lang w:val="es-CR"/>
              </w:rPr>
              <w:t xml:space="preserve"> la provisión de servicios públicos y financieros. Se incorpora aquellas medidas sobre ayudas económicas y suministros </w:t>
            </w:r>
            <w:r w:rsidRPr="004C7C78">
              <w:rPr>
                <w:rFonts w:ascii="IBM Plex Sans" w:hAnsi="IBM Plex Sans" w:cs="Arial"/>
                <w:sz w:val="20"/>
                <w:szCs w:val="20"/>
                <w:lang w:val="es-CR"/>
              </w:rPr>
              <w:lastRenderedPageBreak/>
              <w:t>básicos que reciben las personas para satisfacer sus necesidades básicas durante la emergencia sanitaria ocasionada por el COVID-19. Por ejemplo: créase el Bono Proteger como una transferencia monetaria extraordinaria y temporal para contribuir con la protección social de los hogares afectados</w:t>
            </w:r>
            <w:r w:rsidR="0005281C" w:rsidRPr="004C7C78">
              <w:rPr>
                <w:rFonts w:ascii="IBM Plex Sans" w:hAnsi="IBM Plex Sans" w:cs="Arial"/>
                <w:sz w:val="20"/>
                <w:szCs w:val="20"/>
                <w:lang w:val="es-CR"/>
              </w:rPr>
              <w:t>,</w:t>
            </w:r>
            <w:r w:rsidRPr="004C7C78">
              <w:rPr>
                <w:rFonts w:ascii="IBM Plex Sans" w:hAnsi="IBM Plex Sans" w:cs="Arial"/>
                <w:sz w:val="20"/>
                <w:szCs w:val="20"/>
                <w:lang w:val="es-CR"/>
              </w:rPr>
              <w:t xml:space="preserve"> por el cambio en sus condiciones laborales y/o de ingresos como consecuencia de la Emergencia Nacional provocada por el COVID-19.</w:t>
            </w:r>
          </w:p>
        </w:tc>
        <w:tc>
          <w:tcPr>
            <w:tcW w:w="4013" w:type="dxa"/>
          </w:tcPr>
          <w:p w14:paraId="7DFE2DEF" w14:textId="77777777" w:rsidR="004A02F1" w:rsidRPr="004C7C78" w:rsidRDefault="004A02F1" w:rsidP="004C7C78">
            <w:pPr>
              <w:pStyle w:val="Sinespaciado"/>
              <w:numPr>
                <w:ilvl w:val="0"/>
                <w:numId w:val="23"/>
              </w:num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lang w:val="es-CR"/>
              </w:rPr>
            </w:pPr>
            <w:r w:rsidRPr="004C7C78">
              <w:rPr>
                <w:rFonts w:ascii="IBM Plex Sans" w:hAnsi="IBM Plex Sans" w:cs="Arial"/>
                <w:sz w:val="20"/>
                <w:szCs w:val="20"/>
                <w:lang w:val="es-CR"/>
              </w:rPr>
              <w:lastRenderedPageBreak/>
              <w:t>Arreglos de pago</w:t>
            </w:r>
          </w:p>
          <w:p w14:paraId="1B35253C" w14:textId="77777777" w:rsidR="004A02F1" w:rsidRPr="004C7C78" w:rsidRDefault="004A02F1" w:rsidP="004C7C78">
            <w:pPr>
              <w:pStyle w:val="Sinespaciado"/>
              <w:numPr>
                <w:ilvl w:val="0"/>
                <w:numId w:val="23"/>
              </w:num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lang w:val="es-CR"/>
              </w:rPr>
            </w:pPr>
            <w:r w:rsidRPr="004C7C78">
              <w:rPr>
                <w:rFonts w:ascii="IBM Plex Sans" w:hAnsi="IBM Plex Sans" w:cs="Arial"/>
                <w:sz w:val="20"/>
                <w:szCs w:val="20"/>
                <w:lang w:val="es-CR"/>
              </w:rPr>
              <w:t>Atención a usuarios y virtualización de trámites y servicios</w:t>
            </w:r>
          </w:p>
          <w:p w14:paraId="60E22891" w14:textId="45072578" w:rsidR="004A02F1" w:rsidRPr="004C7C78" w:rsidRDefault="004A02F1" w:rsidP="004C7C78">
            <w:pPr>
              <w:pStyle w:val="Sinespaciado"/>
              <w:numPr>
                <w:ilvl w:val="0"/>
                <w:numId w:val="23"/>
              </w:num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lang w:val="es-CR"/>
              </w:rPr>
            </w:pPr>
            <w:r w:rsidRPr="004C7C78">
              <w:rPr>
                <w:rFonts w:ascii="IBM Plex Sans" w:hAnsi="IBM Plex Sans" w:cs="Arial"/>
                <w:sz w:val="20"/>
                <w:szCs w:val="20"/>
                <w:lang w:val="es-CR"/>
              </w:rPr>
              <w:t>Capacitaciones</w:t>
            </w:r>
          </w:p>
          <w:p w14:paraId="3E354E4D" w14:textId="4A1DD829" w:rsidR="00D00988" w:rsidRPr="004C7C78" w:rsidRDefault="004C7C78" w:rsidP="004C7C78">
            <w:pPr>
              <w:pStyle w:val="Sinespaciado"/>
              <w:numPr>
                <w:ilvl w:val="0"/>
                <w:numId w:val="23"/>
              </w:num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lang w:val="es-CR"/>
              </w:rPr>
            </w:pPr>
            <w:r w:rsidRPr="004C7C78">
              <w:rPr>
                <w:rFonts w:ascii="IBM Plex Sans" w:hAnsi="IBM Plex Sans" w:cs="Arial"/>
                <w:sz w:val="20"/>
                <w:szCs w:val="20"/>
                <w:lang w:val="es-CR"/>
              </w:rPr>
              <w:t>Condonación en créditos</w:t>
            </w:r>
          </w:p>
          <w:p w14:paraId="5F3B1E3D" w14:textId="77777777" w:rsidR="004A02F1" w:rsidRPr="004C7C78" w:rsidRDefault="004A02F1" w:rsidP="004C7C78">
            <w:pPr>
              <w:pStyle w:val="Sinespaciado"/>
              <w:numPr>
                <w:ilvl w:val="0"/>
                <w:numId w:val="23"/>
              </w:num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lang w:val="es-CR"/>
              </w:rPr>
            </w:pPr>
            <w:r w:rsidRPr="004C7C78">
              <w:rPr>
                <w:rFonts w:ascii="IBM Plex Sans" w:hAnsi="IBM Plex Sans" w:cs="Arial"/>
                <w:sz w:val="20"/>
                <w:szCs w:val="20"/>
                <w:lang w:val="es-CR"/>
              </w:rPr>
              <w:lastRenderedPageBreak/>
              <w:t>Donaciones de suministros básicos</w:t>
            </w:r>
          </w:p>
          <w:p w14:paraId="7A03E2A6" w14:textId="77777777" w:rsidR="004A02F1" w:rsidRPr="004C7C78" w:rsidRDefault="004A02F1" w:rsidP="004C7C78">
            <w:pPr>
              <w:pStyle w:val="Sinespaciado"/>
              <w:numPr>
                <w:ilvl w:val="0"/>
                <w:numId w:val="23"/>
              </w:num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lang w:val="es-CR"/>
              </w:rPr>
            </w:pPr>
            <w:r w:rsidRPr="004C7C78">
              <w:rPr>
                <w:rFonts w:ascii="IBM Plex Sans" w:hAnsi="IBM Plex Sans" w:cs="Arial"/>
                <w:sz w:val="20"/>
                <w:szCs w:val="20"/>
                <w:lang w:val="es-CR"/>
              </w:rPr>
              <w:t>Flexibilización de cuotas de préstamos e intereses de créditos</w:t>
            </w:r>
          </w:p>
          <w:p w14:paraId="021AE801" w14:textId="09317499" w:rsidR="004A02F1" w:rsidRPr="004C7C78" w:rsidRDefault="004A02F1" w:rsidP="004C7C78">
            <w:pPr>
              <w:pStyle w:val="Sinespaciado"/>
              <w:numPr>
                <w:ilvl w:val="0"/>
                <w:numId w:val="23"/>
              </w:num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lang w:val="es-CR"/>
              </w:rPr>
            </w:pPr>
            <w:r w:rsidRPr="004C7C78">
              <w:rPr>
                <w:rFonts w:ascii="IBM Plex Sans" w:hAnsi="IBM Plex Sans" w:cs="Arial"/>
                <w:sz w:val="20"/>
                <w:szCs w:val="20"/>
                <w:lang w:val="es-CR"/>
              </w:rPr>
              <w:t xml:space="preserve">Moratoria en </w:t>
            </w:r>
            <w:r w:rsidR="00BA183F" w:rsidRPr="004C7C78">
              <w:rPr>
                <w:rFonts w:ascii="IBM Plex Sans" w:hAnsi="IBM Plex Sans" w:cs="Arial"/>
                <w:sz w:val="20"/>
                <w:szCs w:val="20"/>
                <w:lang w:val="es-CR"/>
              </w:rPr>
              <w:t>créditos</w:t>
            </w:r>
          </w:p>
          <w:p w14:paraId="5D431ED7" w14:textId="77777777" w:rsidR="004A02F1" w:rsidRPr="004C7C78" w:rsidRDefault="004A02F1" w:rsidP="004C7C78">
            <w:pPr>
              <w:pStyle w:val="Sinespaciado"/>
              <w:numPr>
                <w:ilvl w:val="0"/>
                <w:numId w:val="23"/>
              </w:num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lang w:val="es-CR"/>
              </w:rPr>
            </w:pPr>
            <w:r w:rsidRPr="004C7C78">
              <w:rPr>
                <w:rFonts w:ascii="IBM Plex Sans" w:hAnsi="IBM Plex Sans" w:cs="Arial"/>
                <w:sz w:val="20"/>
                <w:szCs w:val="20"/>
                <w:lang w:val="es-CR"/>
              </w:rPr>
              <w:t>Moratoria en servicios públicos</w:t>
            </w:r>
          </w:p>
          <w:p w14:paraId="73030BF3" w14:textId="77777777" w:rsidR="004A02F1" w:rsidRPr="004C7C78" w:rsidRDefault="004A02F1" w:rsidP="004C7C78">
            <w:pPr>
              <w:pStyle w:val="Sinespaciado"/>
              <w:numPr>
                <w:ilvl w:val="0"/>
                <w:numId w:val="23"/>
              </w:num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lang w:val="es-CR"/>
              </w:rPr>
            </w:pPr>
            <w:r w:rsidRPr="004C7C78">
              <w:rPr>
                <w:rFonts w:ascii="IBM Plex Sans" w:hAnsi="IBM Plex Sans" w:cs="Arial"/>
                <w:sz w:val="20"/>
                <w:szCs w:val="20"/>
                <w:lang w:val="es-CR"/>
              </w:rPr>
              <w:t>Moratoria fiscal</w:t>
            </w:r>
          </w:p>
          <w:p w14:paraId="56EE650F" w14:textId="358EAC7E" w:rsidR="004A02F1" w:rsidRPr="004C7C78" w:rsidRDefault="004A02F1" w:rsidP="004C7C78">
            <w:pPr>
              <w:pStyle w:val="Sinespaciado"/>
              <w:numPr>
                <w:ilvl w:val="0"/>
                <w:numId w:val="23"/>
              </w:num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lang w:val="es-CR"/>
              </w:rPr>
            </w:pPr>
            <w:r w:rsidRPr="004C7C78">
              <w:rPr>
                <w:rFonts w:ascii="IBM Plex Sans" w:hAnsi="IBM Plex Sans" w:cs="Arial"/>
                <w:sz w:val="20"/>
                <w:szCs w:val="20"/>
                <w:lang w:val="es-CR"/>
              </w:rPr>
              <w:t xml:space="preserve">Nuevos </w:t>
            </w:r>
            <w:r w:rsidR="00BA183F" w:rsidRPr="004C7C78">
              <w:rPr>
                <w:rFonts w:ascii="IBM Plex Sans" w:hAnsi="IBM Plex Sans" w:cs="Arial"/>
                <w:sz w:val="20"/>
                <w:szCs w:val="20"/>
                <w:lang w:val="es-CR"/>
              </w:rPr>
              <w:t>créditos</w:t>
            </w:r>
          </w:p>
          <w:p w14:paraId="12A7CCFD" w14:textId="77777777" w:rsidR="004A02F1" w:rsidRPr="004C7C78" w:rsidRDefault="004A02F1" w:rsidP="004C7C78">
            <w:pPr>
              <w:pStyle w:val="Sinespaciado"/>
              <w:numPr>
                <w:ilvl w:val="0"/>
                <w:numId w:val="23"/>
              </w:num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lang w:val="es-CR"/>
              </w:rPr>
            </w:pPr>
            <w:r w:rsidRPr="004C7C78">
              <w:rPr>
                <w:rFonts w:ascii="IBM Plex Sans" w:hAnsi="IBM Plex Sans" w:cs="Arial"/>
                <w:sz w:val="20"/>
                <w:szCs w:val="20"/>
                <w:lang w:val="es-CR"/>
              </w:rPr>
              <w:t>Pensiones y seguros de salud</w:t>
            </w:r>
          </w:p>
          <w:p w14:paraId="4A6FC5E6" w14:textId="77777777" w:rsidR="004A02F1" w:rsidRPr="004C7C78" w:rsidRDefault="004A02F1" w:rsidP="004C7C78">
            <w:pPr>
              <w:pStyle w:val="Sinespaciado"/>
              <w:numPr>
                <w:ilvl w:val="0"/>
                <w:numId w:val="23"/>
              </w:num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lang w:val="es-CR"/>
              </w:rPr>
            </w:pPr>
            <w:r w:rsidRPr="004C7C78">
              <w:rPr>
                <w:rFonts w:ascii="IBM Plex Sans" w:hAnsi="IBM Plex Sans" w:cs="Arial"/>
                <w:sz w:val="20"/>
                <w:szCs w:val="20"/>
                <w:lang w:val="es-CR"/>
              </w:rPr>
              <w:t>Subsidios para la producción de bienes y servicios</w:t>
            </w:r>
          </w:p>
          <w:p w14:paraId="3D07E70A" w14:textId="77777777" w:rsidR="004A02F1" w:rsidRPr="004C7C78" w:rsidRDefault="004A02F1" w:rsidP="004C7C78">
            <w:pPr>
              <w:pStyle w:val="Sinespaciado"/>
              <w:numPr>
                <w:ilvl w:val="0"/>
                <w:numId w:val="23"/>
              </w:num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lang w:val="es-CR"/>
              </w:rPr>
            </w:pPr>
            <w:r w:rsidRPr="004C7C78">
              <w:rPr>
                <w:rFonts w:ascii="IBM Plex Sans" w:hAnsi="IBM Plex Sans" w:cs="Arial"/>
                <w:sz w:val="20"/>
                <w:szCs w:val="20"/>
                <w:lang w:val="es-CR"/>
              </w:rPr>
              <w:t>Subsidios para servicios de capacitación y formación profesional</w:t>
            </w:r>
          </w:p>
          <w:p w14:paraId="73374658" w14:textId="77777777" w:rsidR="004A02F1" w:rsidRPr="004C7C78" w:rsidRDefault="004A02F1" w:rsidP="004C7C78">
            <w:pPr>
              <w:pStyle w:val="Sinespaciado"/>
              <w:numPr>
                <w:ilvl w:val="0"/>
                <w:numId w:val="23"/>
              </w:num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lang w:val="es-CR"/>
              </w:rPr>
            </w:pPr>
            <w:r w:rsidRPr="004C7C78">
              <w:rPr>
                <w:rFonts w:ascii="IBM Plex Sans" w:hAnsi="IBM Plex Sans" w:cs="Arial"/>
                <w:sz w:val="20"/>
                <w:szCs w:val="20"/>
                <w:lang w:val="es-CR"/>
              </w:rPr>
              <w:t>Subsidios por desempleo, suspensión de contratos y reducción de jornadas laborales</w:t>
            </w:r>
          </w:p>
          <w:p w14:paraId="2A928466" w14:textId="77777777" w:rsidR="004A02F1" w:rsidRPr="004C7C78" w:rsidRDefault="004A02F1" w:rsidP="004C7C78">
            <w:pPr>
              <w:pStyle w:val="Sinespaciado"/>
              <w:numPr>
                <w:ilvl w:val="0"/>
                <w:numId w:val="23"/>
              </w:num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lang w:val="es-CR"/>
              </w:rPr>
            </w:pPr>
            <w:r w:rsidRPr="004C7C78">
              <w:rPr>
                <w:rFonts w:ascii="IBM Plex Sans" w:hAnsi="IBM Plex Sans" w:cs="Arial"/>
                <w:sz w:val="20"/>
                <w:szCs w:val="20"/>
                <w:lang w:val="es-CR"/>
              </w:rPr>
              <w:t>Suspensiones de trámites y servicios públicos</w:t>
            </w:r>
          </w:p>
          <w:p w14:paraId="51EDFC38" w14:textId="77777777" w:rsidR="004A02F1" w:rsidRPr="004C7C78" w:rsidRDefault="004A02F1" w:rsidP="004C7C78">
            <w:pPr>
              <w:pStyle w:val="Sinespaciado"/>
              <w:numPr>
                <w:ilvl w:val="0"/>
                <w:numId w:val="23"/>
              </w:num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lang w:val="es-CR"/>
              </w:rPr>
            </w:pPr>
            <w:r w:rsidRPr="004C7C78">
              <w:rPr>
                <w:rFonts w:ascii="IBM Plex Sans" w:hAnsi="IBM Plex Sans" w:cs="Arial"/>
                <w:sz w:val="20"/>
                <w:szCs w:val="20"/>
                <w:lang w:val="es-CR"/>
              </w:rPr>
              <w:t>Tarifas de seguros y pensiones</w:t>
            </w:r>
          </w:p>
          <w:p w14:paraId="31F1CEE8" w14:textId="77777777" w:rsidR="004A02F1" w:rsidRPr="004C7C78" w:rsidRDefault="004A02F1" w:rsidP="004C7C78">
            <w:pPr>
              <w:pStyle w:val="Sinespaciado"/>
              <w:numPr>
                <w:ilvl w:val="0"/>
                <w:numId w:val="23"/>
              </w:num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lang w:val="es-CR"/>
              </w:rPr>
            </w:pPr>
            <w:r w:rsidRPr="004C7C78">
              <w:rPr>
                <w:rFonts w:ascii="IBM Plex Sans" w:hAnsi="IBM Plex Sans" w:cs="Arial"/>
                <w:sz w:val="20"/>
                <w:szCs w:val="20"/>
                <w:lang w:val="es-CR"/>
              </w:rPr>
              <w:t>Tarifas fiscales</w:t>
            </w:r>
          </w:p>
          <w:p w14:paraId="249B569A" w14:textId="77777777" w:rsidR="004A02F1" w:rsidRPr="004C7C78" w:rsidRDefault="004A02F1" w:rsidP="004C7C78">
            <w:pPr>
              <w:pStyle w:val="Sinespaciado"/>
              <w:numPr>
                <w:ilvl w:val="0"/>
                <w:numId w:val="23"/>
              </w:num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lang w:val="es-CR"/>
              </w:rPr>
            </w:pPr>
            <w:r w:rsidRPr="004C7C78">
              <w:rPr>
                <w:rFonts w:ascii="IBM Plex Sans" w:hAnsi="IBM Plex Sans" w:cs="Arial"/>
                <w:sz w:val="20"/>
                <w:szCs w:val="20"/>
                <w:lang w:val="es-CR"/>
              </w:rPr>
              <w:t>Tasa de política monetaria</w:t>
            </w:r>
          </w:p>
          <w:p w14:paraId="76560DE3" w14:textId="77777777" w:rsidR="004A02F1" w:rsidRPr="004C7C78" w:rsidRDefault="004A02F1" w:rsidP="004C7C78">
            <w:pPr>
              <w:pStyle w:val="Sinespaciado"/>
              <w:numPr>
                <w:ilvl w:val="0"/>
                <w:numId w:val="23"/>
              </w:num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lang w:val="es-CR"/>
              </w:rPr>
            </w:pPr>
            <w:r w:rsidRPr="004C7C78">
              <w:rPr>
                <w:rFonts w:ascii="IBM Plex Sans" w:hAnsi="IBM Plex Sans" w:cs="Arial"/>
                <w:sz w:val="20"/>
                <w:szCs w:val="20"/>
                <w:lang w:val="es-CR"/>
              </w:rPr>
              <w:t>Otros servicios</w:t>
            </w:r>
          </w:p>
        </w:tc>
      </w:tr>
      <w:tr w:rsidR="004A02F1" w:rsidRPr="004A02F1" w14:paraId="06FC8A7C" w14:textId="77777777" w:rsidTr="00381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002060"/>
          </w:tcPr>
          <w:p w14:paraId="16084865" w14:textId="77777777" w:rsidR="004A02F1" w:rsidRPr="004C7C78" w:rsidRDefault="004A02F1" w:rsidP="00B8067B">
            <w:pPr>
              <w:pStyle w:val="Sinespaciado"/>
              <w:rPr>
                <w:rFonts w:ascii="IBM Plex Sans" w:hAnsi="IBM Plex Sans" w:cs="Arial"/>
                <w:sz w:val="20"/>
                <w:szCs w:val="20"/>
                <w:lang w:val="es-CR"/>
              </w:rPr>
            </w:pPr>
            <w:r w:rsidRPr="004C7C78">
              <w:rPr>
                <w:rFonts w:ascii="IBM Plex Sans" w:hAnsi="IBM Plex Sans" w:cs="Arial"/>
                <w:sz w:val="20"/>
                <w:szCs w:val="20"/>
                <w:lang w:val="es-CR"/>
              </w:rPr>
              <w:lastRenderedPageBreak/>
              <w:t>Medio-alto</w:t>
            </w:r>
          </w:p>
        </w:tc>
        <w:tc>
          <w:tcPr>
            <w:tcW w:w="3402" w:type="dxa"/>
          </w:tcPr>
          <w:p w14:paraId="56CDFD7E" w14:textId="38647095" w:rsidR="004A02F1" w:rsidRPr="004C7C78" w:rsidRDefault="004A02F1" w:rsidP="004C7C78">
            <w:pPr>
              <w:pStyle w:val="Sinespaciado"/>
              <w:jc w:val="both"/>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lang w:val="es-CR"/>
              </w:rPr>
            </w:pPr>
            <w:r w:rsidRPr="004C7C78">
              <w:rPr>
                <w:rFonts w:ascii="IBM Plex Sans" w:hAnsi="IBM Plex Sans" w:cs="Arial"/>
                <w:sz w:val="20"/>
                <w:szCs w:val="20"/>
                <w:lang w:val="es-CR"/>
              </w:rPr>
              <w:t xml:space="preserve">Medidas </w:t>
            </w:r>
            <w:r w:rsidR="002F2649" w:rsidRPr="004C7C78">
              <w:rPr>
                <w:rFonts w:ascii="IBM Plex Sans" w:hAnsi="IBM Plex Sans" w:cs="Arial"/>
                <w:sz w:val="20"/>
                <w:szCs w:val="20"/>
                <w:lang w:val="es-CR"/>
              </w:rPr>
              <w:t>con efectos</w:t>
            </w:r>
            <w:r w:rsidRPr="004C7C78">
              <w:rPr>
                <w:rFonts w:ascii="IBM Plex Sans" w:hAnsi="IBM Plex Sans" w:cs="Arial"/>
                <w:sz w:val="20"/>
                <w:szCs w:val="20"/>
                <w:lang w:val="es-CR"/>
              </w:rPr>
              <w:t xml:space="preserve"> indirect</w:t>
            </w:r>
            <w:r w:rsidR="002F2649" w:rsidRPr="004C7C78">
              <w:rPr>
                <w:rFonts w:ascii="IBM Plex Sans" w:hAnsi="IBM Plex Sans" w:cs="Arial"/>
                <w:sz w:val="20"/>
                <w:szCs w:val="20"/>
                <w:lang w:val="es-CR"/>
              </w:rPr>
              <w:t>os</w:t>
            </w:r>
            <w:r w:rsidRPr="004C7C78">
              <w:rPr>
                <w:rFonts w:ascii="IBM Plex Sans" w:hAnsi="IBM Plex Sans" w:cs="Arial"/>
                <w:sz w:val="20"/>
                <w:szCs w:val="20"/>
                <w:lang w:val="es-CR"/>
              </w:rPr>
              <w:t xml:space="preserve"> sobre la producción de bienes y servicios, y la salud pública. Por ejemplo: la creación de una plataforma virtual para que micro, pequeñas y medianas empresas puedan vender sus productos; en este caso, la medida no regula de manera directa la actividad comercial de estas empresas, únicamente brinda una herramienta para que la comercialización de los productos no se vea interrumpida.</w:t>
            </w:r>
          </w:p>
        </w:tc>
        <w:tc>
          <w:tcPr>
            <w:tcW w:w="4013" w:type="dxa"/>
          </w:tcPr>
          <w:p w14:paraId="3782AA75" w14:textId="77777777" w:rsidR="004A02F1" w:rsidRPr="004C7C78" w:rsidRDefault="004A02F1" w:rsidP="004C7C78">
            <w:pPr>
              <w:pStyle w:val="Sinespaciado"/>
              <w:numPr>
                <w:ilvl w:val="0"/>
                <w:numId w:val="23"/>
              </w:num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lang w:val="es-CR"/>
              </w:rPr>
            </w:pPr>
            <w:r w:rsidRPr="004C7C78">
              <w:rPr>
                <w:rFonts w:ascii="IBM Plex Sans" w:hAnsi="IBM Plex Sans" w:cs="Arial"/>
                <w:sz w:val="20"/>
                <w:szCs w:val="20"/>
                <w:lang w:val="es-CR"/>
              </w:rPr>
              <w:t>Aplicaciones y plataformas tecnológicas</w:t>
            </w:r>
          </w:p>
          <w:p w14:paraId="2AD2229F" w14:textId="77777777" w:rsidR="004A02F1" w:rsidRPr="004C7C78" w:rsidRDefault="004A02F1" w:rsidP="004C7C78">
            <w:pPr>
              <w:pStyle w:val="Sinespaciado"/>
              <w:numPr>
                <w:ilvl w:val="0"/>
                <w:numId w:val="23"/>
              </w:num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lang w:val="es-CR"/>
              </w:rPr>
            </w:pPr>
            <w:r w:rsidRPr="004C7C78">
              <w:rPr>
                <w:rFonts w:ascii="IBM Plex Sans" w:hAnsi="IBM Plex Sans" w:cs="Arial"/>
                <w:sz w:val="20"/>
                <w:szCs w:val="20"/>
                <w:lang w:val="es-CR"/>
              </w:rPr>
              <w:t>Investigación y desarrollo</w:t>
            </w:r>
          </w:p>
          <w:p w14:paraId="5A86F89D" w14:textId="77777777" w:rsidR="004A02F1" w:rsidRPr="004C7C78" w:rsidRDefault="004A02F1" w:rsidP="004C7C78">
            <w:pPr>
              <w:pStyle w:val="Sinespaciado"/>
              <w:numPr>
                <w:ilvl w:val="0"/>
                <w:numId w:val="23"/>
              </w:num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lang w:val="es-CR"/>
              </w:rPr>
            </w:pPr>
            <w:r w:rsidRPr="004C7C78">
              <w:rPr>
                <w:rFonts w:ascii="IBM Plex Sans" w:hAnsi="IBM Plex Sans" w:cs="Arial"/>
                <w:sz w:val="20"/>
                <w:szCs w:val="20"/>
                <w:lang w:val="es-CR"/>
              </w:rPr>
              <w:t>Otros productos</w:t>
            </w:r>
          </w:p>
        </w:tc>
      </w:tr>
      <w:tr w:rsidR="004A02F1" w:rsidRPr="004A02F1" w14:paraId="3BFBD2DC" w14:textId="77777777" w:rsidTr="00381867">
        <w:tc>
          <w:tcPr>
            <w:cnfStyle w:val="001000000000" w:firstRow="0" w:lastRow="0" w:firstColumn="1" w:lastColumn="0" w:oddVBand="0" w:evenVBand="0" w:oddHBand="0" w:evenHBand="0" w:firstRowFirstColumn="0" w:firstRowLastColumn="0" w:lastRowFirstColumn="0" w:lastRowLastColumn="0"/>
            <w:tcW w:w="1413" w:type="dxa"/>
            <w:shd w:val="clear" w:color="auto" w:fill="002060"/>
          </w:tcPr>
          <w:p w14:paraId="21597CA8" w14:textId="77777777" w:rsidR="004A02F1" w:rsidRPr="004C7C78" w:rsidRDefault="004A02F1" w:rsidP="00B8067B">
            <w:pPr>
              <w:pStyle w:val="Sinespaciado"/>
              <w:rPr>
                <w:rFonts w:ascii="IBM Plex Sans" w:hAnsi="IBM Plex Sans" w:cs="Arial"/>
                <w:sz w:val="20"/>
                <w:szCs w:val="20"/>
                <w:lang w:val="es-CR"/>
              </w:rPr>
            </w:pPr>
            <w:r w:rsidRPr="004C7C78">
              <w:rPr>
                <w:rFonts w:ascii="IBM Plex Sans" w:hAnsi="IBM Plex Sans" w:cs="Arial"/>
                <w:sz w:val="20"/>
                <w:szCs w:val="20"/>
                <w:lang w:val="es-CR"/>
              </w:rPr>
              <w:t>Medio-bajo</w:t>
            </w:r>
          </w:p>
        </w:tc>
        <w:tc>
          <w:tcPr>
            <w:tcW w:w="3402" w:type="dxa"/>
          </w:tcPr>
          <w:p w14:paraId="0110090F" w14:textId="25F51709" w:rsidR="004A02F1" w:rsidRPr="004C7C78" w:rsidRDefault="004A02F1" w:rsidP="004C7C78">
            <w:pPr>
              <w:pStyle w:val="Sinespaciado"/>
              <w:jc w:val="both"/>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lang w:val="es-CR"/>
              </w:rPr>
            </w:pPr>
            <w:r w:rsidRPr="004C7C78">
              <w:rPr>
                <w:rFonts w:ascii="IBM Plex Sans" w:hAnsi="IBM Plex Sans" w:cs="Arial"/>
                <w:sz w:val="20"/>
                <w:szCs w:val="20"/>
                <w:lang w:val="es-CR"/>
              </w:rPr>
              <w:t xml:space="preserve">Medidas administrativas </w:t>
            </w:r>
            <w:r w:rsidR="00EE6F99" w:rsidRPr="004C7C78">
              <w:rPr>
                <w:rFonts w:ascii="IBM Plex Sans" w:hAnsi="IBM Plex Sans" w:cs="Arial"/>
                <w:sz w:val="20"/>
                <w:szCs w:val="20"/>
                <w:lang w:val="es-CR"/>
              </w:rPr>
              <w:t>con efectos indirectos</w:t>
            </w:r>
            <w:r w:rsidRPr="004C7C78">
              <w:rPr>
                <w:rFonts w:ascii="IBM Plex Sans" w:hAnsi="IBM Plex Sans" w:cs="Arial"/>
                <w:sz w:val="20"/>
                <w:szCs w:val="20"/>
                <w:lang w:val="es-CR"/>
              </w:rPr>
              <w:t xml:space="preserve"> sobre las personas. Por ejemplo: aplique la excepcionalidad de los cumplimientos de algunos requisitos cuya aplicación no resulten aptos para el estado de emergencia.</w:t>
            </w:r>
          </w:p>
        </w:tc>
        <w:tc>
          <w:tcPr>
            <w:tcW w:w="4013" w:type="dxa"/>
          </w:tcPr>
          <w:p w14:paraId="5F3837A0" w14:textId="77777777" w:rsidR="004A02F1" w:rsidRPr="004C7C78" w:rsidRDefault="004A02F1" w:rsidP="004C7C78">
            <w:pPr>
              <w:pStyle w:val="Sinespaciado"/>
              <w:numPr>
                <w:ilvl w:val="0"/>
                <w:numId w:val="23"/>
              </w:num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lang w:val="es-CR"/>
              </w:rPr>
            </w:pPr>
            <w:r w:rsidRPr="004C7C78">
              <w:rPr>
                <w:rFonts w:ascii="IBM Plex Sans" w:hAnsi="IBM Plex Sans" w:cs="Arial"/>
                <w:sz w:val="20"/>
                <w:szCs w:val="20"/>
                <w:lang w:val="es-CR"/>
              </w:rPr>
              <w:t>Condonación en trámites</w:t>
            </w:r>
          </w:p>
          <w:p w14:paraId="0ABAD14B" w14:textId="77777777" w:rsidR="004A02F1" w:rsidRPr="004C7C78" w:rsidRDefault="004A02F1" w:rsidP="004C7C78">
            <w:pPr>
              <w:pStyle w:val="Sinespaciado"/>
              <w:numPr>
                <w:ilvl w:val="0"/>
                <w:numId w:val="23"/>
              </w:num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lang w:val="es-CR"/>
              </w:rPr>
            </w:pPr>
            <w:r w:rsidRPr="004C7C78">
              <w:rPr>
                <w:rFonts w:ascii="IBM Plex Sans" w:hAnsi="IBM Plex Sans" w:cs="Arial"/>
                <w:sz w:val="20"/>
                <w:szCs w:val="20"/>
                <w:lang w:val="es-CR"/>
              </w:rPr>
              <w:t>Moratoria en trámites</w:t>
            </w:r>
          </w:p>
        </w:tc>
      </w:tr>
      <w:tr w:rsidR="004A02F1" w:rsidRPr="004A02F1" w14:paraId="040A28BE" w14:textId="77777777" w:rsidTr="00381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002060"/>
          </w:tcPr>
          <w:p w14:paraId="46D506A2" w14:textId="77777777" w:rsidR="004A02F1" w:rsidRPr="004C7C78" w:rsidRDefault="004A02F1" w:rsidP="00B8067B">
            <w:pPr>
              <w:pStyle w:val="Sinespaciado"/>
              <w:rPr>
                <w:rFonts w:ascii="IBM Plex Sans" w:hAnsi="IBM Plex Sans" w:cs="Arial"/>
                <w:sz w:val="20"/>
                <w:szCs w:val="20"/>
                <w:lang w:val="es-CR"/>
              </w:rPr>
            </w:pPr>
            <w:r w:rsidRPr="004C7C78">
              <w:rPr>
                <w:rFonts w:ascii="IBM Plex Sans" w:hAnsi="IBM Plex Sans" w:cs="Arial"/>
                <w:sz w:val="20"/>
                <w:szCs w:val="20"/>
                <w:lang w:val="es-CR"/>
              </w:rPr>
              <w:t>Bajo</w:t>
            </w:r>
          </w:p>
        </w:tc>
        <w:tc>
          <w:tcPr>
            <w:tcW w:w="3402" w:type="dxa"/>
          </w:tcPr>
          <w:p w14:paraId="756C3DFB" w14:textId="7B4B9BD2" w:rsidR="004A02F1" w:rsidRPr="004C7C78" w:rsidRDefault="004A02F1" w:rsidP="004C7C78">
            <w:pPr>
              <w:pStyle w:val="Sinespaciado"/>
              <w:jc w:val="both"/>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lang w:val="es-CR"/>
              </w:rPr>
            </w:pPr>
            <w:r w:rsidRPr="004C7C78">
              <w:rPr>
                <w:rFonts w:ascii="IBM Plex Sans" w:hAnsi="IBM Plex Sans" w:cs="Arial"/>
                <w:sz w:val="20"/>
                <w:szCs w:val="20"/>
                <w:lang w:val="es-CR"/>
              </w:rPr>
              <w:t xml:space="preserve">Medidas administrativas y operativas </w:t>
            </w:r>
            <w:r w:rsidR="00DF2372" w:rsidRPr="004C7C78">
              <w:rPr>
                <w:rFonts w:ascii="IBM Plex Sans" w:hAnsi="IBM Plex Sans" w:cs="Arial"/>
                <w:sz w:val="20"/>
                <w:szCs w:val="20"/>
                <w:lang w:val="es-CR"/>
              </w:rPr>
              <w:t>con efectos</w:t>
            </w:r>
            <w:r w:rsidRPr="004C7C78">
              <w:rPr>
                <w:rFonts w:ascii="IBM Plex Sans" w:hAnsi="IBM Plex Sans" w:cs="Arial"/>
                <w:sz w:val="20"/>
                <w:szCs w:val="20"/>
                <w:lang w:val="es-CR"/>
              </w:rPr>
              <w:t xml:space="preserve"> sobre las entidades y sus funcionarios públicos. Por ejemplo: la compra de equipo de protección como mascarillas y guantes para el personal de salud de la Caja Costarricense del Seguro Social.</w:t>
            </w:r>
          </w:p>
        </w:tc>
        <w:tc>
          <w:tcPr>
            <w:tcW w:w="4013" w:type="dxa"/>
          </w:tcPr>
          <w:p w14:paraId="5492AAD0" w14:textId="25057A90" w:rsidR="004A02F1" w:rsidRPr="004C7C78" w:rsidRDefault="004A02F1" w:rsidP="004C7C78">
            <w:pPr>
              <w:pStyle w:val="Sinespaciado"/>
              <w:numPr>
                <w:ilvl w:val="0"/>
                <w:numId w:val="23"/>
              </w:num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lang w:val="es-CR"/>
              </w:rPr>
            </w:pPr>
            <w:r w:rsidRPr="004C7C78">
              <w:rPr>
                <w:rFonts w:ascii="IBM Plex Sans" w:hAnsi="IBM Plex Sans" w:cs="Arial"/>
                <w:sz w:val="20"/>
                <w:szCs w:val="20"/>
                <w:lang w:val="es-CR"/>
              </w:rPr>
              <w:t xml:space="preserve">Adquisición de nuevos </w:t>
            </w:r>
            <w:r w:rsidR="00CE51DD" w:rsidRPr="004C7C78">
              <w:rPr>
                <w:rFonts w:ascii="IBM Plex Sans" w:hAnsi="IBM Plex Sans" w:cs="Arial"/>
                <w:sz w:val="20"/>
                <w:szCs w:val="20"/>
                <w:lang w:val="es-CR"/>
              </w:rPr>
              <w:t>créditos</w:t>
            </w:r>
          </w:p>
          <w:p w14:paraId="19AFC54E" w14:textId="77777777" w:rsidR="004A02F1" w:rsidRPr="004C7C78" w:rsidRDefault="004A02F1" w:rsidP="004C7C78">
            <w:pPr>
              <w:pStyle w:val="Sinespaciado"/>
              <w:numPr>
                <w:ilvl w:val="0"/>
                <w:numId w:val="23"/>
              </w:num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lang w:val="es-CR"/>
              </w:rPr>
            </w:pPr>
            <w:r w:rsidRPr="004C7C78">
              <w:rPr>
                <w:rFonts w:ascii="IBM Plex Sans" w:hAnsi="IBM Plex Sans" w:cs="Arial"/>
                <w:sz w:val="20"/>
                <w:szCs w:val="20"/>
                <w:lang w:val="es-CR"/>
              </w:rPr>
              <w:t>Compra de equipo médico</w:t>
            </w:r>
          </w:p>
          <w:p w14:paraId="07310FB7" w14:textId="77777777" w:rsidR="004A02F1" w:rsidRPr="004C7C78" w:rsidRDefault="004A02F1" w:rsidP="004C7C78">
            <w:pPr>
              <w:pStyle w:val="Sinespaciado"/>
              <w:numPr>
                <w:ilvl w:val="0"/>
                <w:numId w:val="23"/>
              </w:num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lang w:val="es-CR"/>
              </w:rPr>
            </w:pPr>
            <w:r w:rsidRPr="004C7C78">
              <w:rPr>
                <w:rFonts w:ascii="IBM Plex Sans" w:hAnsi="IBM Plex Sans" w:cs="Arial"/>
                <w:sz w:val="20"/>
                <w:szCs w:val="20"/>
                <w:lang w:val="es-CR"/>
              </w:rPr>
              <w:t>Donación de equipo médico</w:t>
            </w:r>
          </w:p>
          <w:p w14:paraId="003492D0" w14:textId="77777777" w:rsidR="004A02F1" w:rsidRPr="004C7C78" w:rsidRDefault="004A02F1" w:rsidP="004C7C78">
            <w:pPr>
              <w:pStyle w:val="Sinespaciado"/>
              <w:numPr>
                <w:ilvl w:val="0"/>
                <w:numId w:val="23"/>
              </w:num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lang w:val="es-CR"/>
              </w:rPr>
            </w:pPr>
            <w:r w:rsidRPr="004C7C78">
              <w:rPr>
                <w:rFonts w:ascii="IBM Plex Sans" w:hAnsi="IBM Plex Sans" w:cs="Arial"/>
                <w:sz w:val="20"/>
                <w:szCs w:val="20"/>
                <w:lang w:val="es-CR"/>
              </w:rPr>
              <w:t>Donación económica</w:t>
            </w:r>
          </w:p>
          <w:p w14:paraId="7BF0D2EE" w14:textId="77777777" w:rsidR="004A02F1" w:rsidRPr="004C7C78" w:rsidRDefault="004A02F1" w:rsidP="004C7C78">
            <w:pPr>
              <w:pStyle w:val="Sinespaciado"/>
              <w:numPr>
                <w:ilvl w:val="0"/>
                <w:numId w:val="23"/>
              </w:num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lang w:val="es-CR"/>
              </w:rPr>
            </w:pPr>
            <w:r w:rsidRPr="004C7C78">
              <w:rPr>
                <w:rFonts w:ascii="IBM Plex Sans" w:hAnsi="IBM Plex Sans" w:cs="Arial"/>
                <w:sz w:val="20"/>
                <w:szCs w:val="20"/>
                <w:lang w:val="es-CR"/>
              </w:rPr>
              <w:t>Financiamiento e inversión en proyectos</w:t>
            </w:r>
          </w:p>
          <w:p w14:paraId="60D8FC75" w14:textId="77777777" w:rsidR="004A02F1" w:rsidRPr="004C7C78" w:rsidRDefault="004A02F1" w:rsidP="004C7C78">
            <w:pPr>
              <w:pStyle w:val="Sinespaciado"/>
              <w:numPr>
                <w:ilvl w:val="0"/>
                <w:numId w:val="23"/>
              </w:num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lang w:val="es-CR"/>
              </w:rPr>
            </w:pPr>
            <w:r w:rsidRPr="004C7C78">
              <w:rPr>
                <w:rFonts w:ascii="IBM Plex Sans" w:hAnsi="IBM Plex Sans" w:cs="Arial"/>
                <w:sz w:val="20"/>
                <w:szCs w:val="20"/>
                <w:lang w:val="es-CR"/>
              </w:rPr>
              <w:t>Mesas de diálogo</w:t>
            </w:r>
          </w:p>
          <w:p w14:paraId="7F59F070" w14:textId="6394B734" w:rsidR="004A02F1" w:rsidRPr="004C7C78" w:rsidRDefault="004A02F1" w:rsidP="004C7C78">
            <w:pPr>
              <w:pStyle w:val="Sinespaciado"/>
              <w:numPr>
                <w:ilvl w:val="0"/>
                <w:numId w:val="23"/>
              </w:num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lang w:val="es-CR"/>
              </w:rPr>
            </w:pPr>
            <w:r w:rsidRPr="004C7C78">
              <w:rPr>
                <w:rFonts w:ascii="IBM Plex Sans" w:hAnsi="IBM Plex Sans" w:cs="Arial"/>
                <w:sz w:val="20"/>
                <w:szCs w:val="20"/>
                <w:lang w:val="es-CR"/>
              </w:rPr>
              <w:t xml:space="preserve">Modificación de los </w:t>
            </w:r>
            <w:r w:rsidR="00CB418A" w:rsidRPr="004C7C78">
              <w:rPr>
                <w:rFonts w:ascii="IBM Plex Sans" w:hAnsi="IBM Plex Sans" w:cs="Arial"/>
                <w:sz w:val="20"/>
                <w:szCs w:val="20"/>
                <w:lang w:val="es-CR"/>
              </w:rPr>
              <w:t>créditos</w:t>
            </w:r>
            <w:r w:rsidRPr="004C7C78">
              <w:rPr>
                <w:rFonts w:ascii="IBM Plex Sans" w:hAnsi="IBM Plex Sans" w:cs="Arial"/>
                <w:sz w:val="20"/>
                <w:szCs w:val="20"/>
                <w:lang w:val="es-CR"/>
              </w:rPr>
              <w:t xml:space="preserve"> existentes</w:t>
            </w:r>
          </w:p>
          <w:p w14:paraId="3869F405" w14:textId="77777777" w:rsidR="004A02F1" w:rsidRPr="004C7C78" w:rsidRDefault="004A02F1" w:rsidP="004C7C78">
            <w:pPr>
              <w:pStyle w:val="Sinespaciado"/>
              <w:numPr>
                <w:ilvl w:val="0"/>
                <w:numId w:val="23"/>
              </w:num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lang w:val="es-CR"/>
              </w:rPr>
            </w:pPr>
            <w:r w:rsidRPr="004C7C78">
              <w:rPr>
                <w:rFonts w:ascii="IBM Plex Sans" w:hAnsi="IBM Plex Sans" w:cs="Arial"/>
                <w:sz w:val="20"/>
                <w:szCs w:val="20"/>
                <w:lang w:val="es-CR"/>
              </w:rPr>
              <w:t>Operaciones de vigilancia y de limpieza</w:t>
            </w:r>
          </w:p>
          <w:p w14:paraId="53C33D0E" w14:textId="77777777" w:rsidR="004A02F1" w:rsidRPr="004C7C78" w:rsidRDefault="004A02F1" w:rsidP="004C7C78">
            <w:pPr>
              <w:pStyle w:val="Sinespaciado"/>
              <w:numPr>
                <w:ilvl w:val="0"/>
                <w:numId w:val="23"/>
              </w:num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lang w:val="es-CR"/>
              </w:rPr>
            </w:pPr>
            <w:r w:rsidRPr="004C7C78">
              <w:rPr>
                <w:rFonts w:ascii="IBM Plex Sans" w:hAnsi="IBM Plex Sans" w:cs="Arial"/>
                <w:sz w:val="20"/>
                <w:szCs w:val="20"/>
                <w:lang w:val="es-CR"/>
              </w:rPr>
              <w:lastRenderedPageBreak/>
              <w:t>Otros suministros y compras</w:t>
            </w:r>
          </w:p>
        </w:tc>
      </w:tr>
      <w:tr w:rsidR="004A02F1" w:rsidRPr="004A02F1" w14:paraId="0B9E8C6B" w14:textId="77777777" w:rsidTr="00381867">
        <w:tc>
          <w:tcPr>
            <w:cnfStyle w:val="001000000000" w:firstRow="0" w:lastRow="0" w:firstColumn="1" w:lastColumn="0" w:oddVBand="0" w:evenVBand="0" w:oddHBand="0" w:evenHBand="0" w:firstRowFirstColumn="0" w:firstRowLastColumn="0" w:lastRowFirstColumn="0" w:lastRowLastColumn="0"/>
            <w:tcW w:w="1413" w:type="dxa"/>
            <w:shd w:val="clear" w:color="auto" w:fill="002060"/>
          </w:tcPr>
          <w:p w14:paraId="14C9AEA8" w14:textId="77777777" w:rsidR="004A02F1" w:rsidRPr="004C7C78" w:rsidRDefault="004A02F1" w:rsidP="00B8067B">
            <w:pPr>
              <w:pStyle w:val="Sinespaciado"/>
              <w:rPr>
                <w:rFonts w:ascii="IBM Plex Sans" w:hAnsi="IBM Plex Sans" w:cs="Arial"/>
                <w:sz w:val="20"/>
                <w:szCs w:val="20"/>
                <w:lang w:val="es-CR"/>
              </w:rPr>
            </w:pPr>
            <w:r w:rsidRPr="004C7C78">
              <w:rPr>
                <w:rFonts w:ascii="IBM Plex Sans" w:hAnsi="IBM Plex Sans" w:cs="Arial"/>
                <w:sz w:val="20"/>
                <w:szCs w:val="20"/>
                <w:lang w:val="es-CR"/>
              </w:rPr>
              <w:lastRenderedPageBreak/>
              <w:t>Muy bajo</w:t>
            </w:r>
          </w:p>
        </w:tc>
        <w:tc>
          <w:tcPr>
            <w:tcW w:w="3402" w:type="dxa"/>
          </w:tcPr>
          <w:p w14:paraId="183E2E43" w14:textId="49C45A6D" w:rsidR="004A02F1" w:rsidRPr="004C7C78" w:rsidRDefault="004A02F1" w:rsidP="004C7C78">
            <w:pPr>
              <w:pStyle w:val="Sinespaciado"/>
              <w:jc w:val="both"/>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lang w:val="es-CR"/>
              </w:rPr>
            </w:pPr>
            <w:r w:rsidRPr="004C7C78">
              <w:rPr>
                <w:rFonts w:ascii="IBM Plex Sans" w:hAnsi="IBM Plex Sans" w:cs="Arial"/>
                <w:sz w:val="20"/>
                <w:szCs w:val="20"/>
                <w:lang w:val="es-CR"/>
              </w:rPr>
              <w:t xml:space="preserve">Medidas administrativas </w:t>
            </w:r>
            <w:r w:rsidR="00DE746D" w:rsidRPr="004C7C78">
              <w:rPr>
                <w:rFonts w:ascii="IBM Plex Sans" w:hAnsi="IBM Plex Sans" w:cs="Arial"/>
                <w:sz w:val="20"/>
                <w:szCs w:val="20"/>
                <w:lang w:val="es-CR"/>
              </w:rPr>
              <w:t>con efectos</w:t>
            </w:r>
            <w:r w:rsidRPr="004C7C78">
              <w:rPr>
                <w:rFonts w:ascii="IBM Plex Sans" w:hAnsi="IBM Plex Sans" w:cs="Arial"/>
                <w:sz w:val="20"/>
                <w:szCs w:val="20"/>
                <w:lang w:val="es-CR"/>
              </w:rPr>
              <w:t xml:space="preserve"> no identificad</w:t>
            </w:r>
            <w:r w:rsidR="00DE746D" w:rsidRPr="004C7C78">
              <w:rPr>
                <w:rFonts w:ascii="IBM Plex Sans" w:hAnsi="IBM Plex Sans" w:cs="Arial"/>
                <w:sz w:val="20"/>
                <w:szCs w:val="20"/>
                <w:lang w:val="es-CR"/>
              </w:rPr>
              <w:t>os</w:t>
            </w:r>
            <w:r w:rsidRPr="004C7C78">
              <w:rPr>
                <w:rFonts w:ascii="IBM Plex Sans" w:hAnsi="IBM Plex Sans" w:cs="Arial"/>
                <w:sz w:val="20"/>
                <w:szCs w:val="20"/>
                <w:lang w:val="es-CR"/>
              </w:rPr>
              <w:t>. Por ejemplo: el envío de mensajes de texto sobre las medidas de higiene.</w:t>
            </w:r>
          </w:p>
        </w:tc>
        <w:tc>
          <w:tcPr>
            <w:tcW w:w="4013" w:type="dxa"/>
          </w:tcPr>
          <w:p w14:paraId="248181E7" w14:textId="77777777" w:rsidR="004A02F1" w:rsidRPr="004C7C78" w:rsidRDefault="004A02F1" w:rsidP="004C7C78">
            <w:pPr>
              <w:pStyle w:val="Sinespaciado"/>
              <w:numPr>
                <w:ilvl w:val="0"/>
                <w:numId w:val="23"/>
              </w:num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lang w:val="es-CR"/>
              </w:rPr>
            </w:pPr>
            <w:r w:rsidRPr="004C7C78">
              <w:rPr>
                <w:rFonts w:ascii="IBM Plex Sans" w:hAnsi="IBM Plex Sans" w:cs="Arial"/>
                <w:sz w:val="20"/>
                <w:szCs w:val="20"/>
                <w:lang w:val="es-CR"/>
              </w:rPr>
              <w:t>Campañas y materiales informativos</w:t>
            </w:r>
          </w:p>
          <w:p w14:paraId="1761524A" w14:textId="77777777" w:rsidR="004A02F1" w:rsidRPr="004C7C78" w:rsidRDefault="004A02F1" w:rsidP="004C7C78">
            <w:pPr>
              <w:pStyle w:val="Sinespaciado"/>
              <w:numPr>
                <w:ilvl w:val="0"/>
                <w:numId w:val="23"/>
              </w:num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lang w:val="es-CR"/>
              </w:rPr>
            </w:pPr>
            <w:r w:rsidRPr="004C7C78">
              <w:rPr>
                <w:rFonts w:ascii="IBM Plex Sans" w:hAnsi="IBM Plex Sans" w:cs="Arial"/>
                <w:sz w:val="20"/>
                <w:szCs w:val="20"/>
                <w:lang w:val="es-CR"/>
              </w:rPr>
              <w:t>Otros</w:t>
            </w:r>
          </w:p>
        </w:tc>
      </w:tr>
    </w:tbl>
    <w:p w14:paraId="5C7DACCD" w14:textId="77777777" w:rsidR="004A02F1" w:rsidRDefault="004A02F1" w:rsidP="004A02F1">
      <w:pPr>
        <w:spacing w:line="360" w:lineRule="auto"/>
        <w:jc w:val="both"/>
        <w:rPr>
          <w:rFonts w:ascii="Arial" w:hAnsi="Arial" w:cs="Arial"/>
        </w:rPr>
      </w:pPr>
      <w:r>
        <w:rPr>
          <w:rFonts w:ascii="Arial" w:hAnsi="Arial" w:cs="Arial"/>
        </w:rPr>
        <w:t>Fuente: Elaboración propia.</w:t>
      </w:r>
    </w:p>
    <w:p w14:paraId="5C5B1CB2" w14:textId="77777777" w:rsidR="004A02F1" w:rsidRPr="00B8067B" w:rsidRDefault="004A02F1" w:rsidP="00B8067B">
      <w:pPr>
        <w:spacing w:line="240" w:lineRule="auto"/>
        <w:jc w:val="both"/>
        <w:rPr>
          <w:rFonts w:ascii="IBM Plex Sans" w:hAnsi="IBM Plex Sans" w:cs="Arial"/>
        </w:rPr>
      </w:pPr>
    </w:p>
    <w:p w14:paraId="476C9D13" w14:textId="77777777" w:rsidR="00B8067B" w:rsidRPr="00B8067B" w:rsidRDefault="005A46F0" w:rsidP="00B8067B">
      <w:pPr>
        <w:pStyle w:val="Ttulo2"/>
        <w:rPr>
          <w:rFonts w:ascii="IBM Plex Sans" w:hAnsi="IBM Plex Sans"/>
        </w:rPr>
      </w:pPr>
      <w:bookmarkStart w:id="18" w:name="_Toc86615288"/>
      <w:r w:rsidRPr="00B8067B">
        <w:rPr>
          <w:rFonts w:ascii="IBM Plex Sans" w:hAnsi="IBM Plex Sans"/>
        </w:rPr>
        <w:t xml:space="preserve">11. </w:t>
      </w:r>
      <w:r w:rsidR="004A02F1" w:rsidRPr="00B8067B">
        <w:rPr>
          <w:rFonts w:ascii="IBM Plex Sans" w:hAnsi="IBM Plex Sans"/>
        </w:rPr>
        <w:t>Tipo de sector (sector)</w:t>
      </w:r>
      <w:bookmarkEnd w:id="18"/>
    </w:p>
    <w:p w14:paraId="2E68CBE8" w14:textId="05E1EDCE" w:rsidR="004A02F1" w:rsidRPr="00B8067B" w:rsidRDefault="004A02F1" w:rsidP="00B8067B">
      <w:pPr>
        <w:spacing w:line="240" w:lineRule="auto"/>
        <w:jc w:val="both"/>
        <w:rPr>
          <w:rFonts w:ascii="IBM Plex Sans" w:hAnsi="IBM Plex Sans" w:cs="Arial"/>
        </w:rPr>
      </w:pPr>
      <w:r w:rsidRPr="00B8067B">
        <w:rPr>
          <w:rFonts w:ascii="IBM Plex Sans" w:hAnsi="IBM Plex Sans" w:cs="Arial"/>
        </w:rPr>
        <w:t xml:space="preserve">Esta variable señala el tipo de sector afectado directamente por la medida. Es importante aclarar que el investigador debe registrar en la base de datos, las categorías que aparecen en la columna de la izquierda (de color azul oscuro) del cuadro </w:t>
      </w:r>
      <w:r w:rsidR="00591399" w:rsidRPr="00B8067B">
        <w:rPr>
          <w:rFonts w:ascii="IBM Plex Sans" w:hAnsi="IBM Plex Sans" w:cs="Arial"/>
        </w:rPr>
        <w:t>5</w:t>
      </w:r>
      <w:r w:rsidRPr="00B8067B">
        <w:rPr>
          <w:rFonts w:ascii="IBM Plex Sans" w:hAnsi="IBM Plex Sans" w:cs="Arial"/>
        </w:rPr>
        <w:t>.</w:t>
      </w:r>
    </w:p>
    <w:p w14:paraId="056344B3" w14:textId="126FD7C5" w:rsidR="004A02F1" w:rsidRPr="002060AF" w:rsidRDefault="004A02F1" w:rsidP="002060AF">
      <w:pPr>
        <w:spacing w:after="0" w:line="360" w:lineRule="auto"/>
        <w:jc w:val="both"/>
        <w:rPr>
          <w:rFonts w:ascii="IBM Plex Sans Light" w:hAnsi="IBM Plex Sans Light" w:cs="Arial"/>
          <w:b/>
          <w:bCs/>
        </w:rPr>
      </w:pPr>
      <w:r w:rsidRPr="002060AF">
        <w:rPr>
          <w:rFonts w:ascii="IBM Plex Sans Light" w:hAnsi="IBM Plex Sans Light" w:cs="Arial"/>
          <w:b/>
          <w:bCs/>
        </w:rPr>
        <w:t xml:space="preserve">Cuadro </w:t>
      </w:r>
      <w:r w:rsidR="00591399" w:rsidRPr="002060AF">
        <w:rPr>
          <w:rFonts w:ascii="IBM Plex Sans Light" w:hAnsi="IBM Plex Sans Light" w:cs="Arial"/>
          <w:b/>
          <w:bCs/>
        </w:rPr>
        <w:t>5</w:t>
      </w:r>
      <w:r w:rsidRPr="002060AF">
        <w:rPr>
          <w:rFonts w:ascii="IBM Plex Sans Light" w:hAnsi="IBM Plex Sans Light" w:cs="Arial"/>
          <w:b/>
          <w:bCs/>
        </w:rPr>
        <w:t>. Tipo de sector.</w:t>
      </w:r>
    </w:p>
    <w:tbl>
      <w:tblPr>
        <w:tblStyle w:val="Tablaconcuadrcula5oscura-nfasis1"/>
        <w:tblW w:w="0" w:type="auto"/>
        <w:tblLook w:val="04A0" w:firstRow="1" w:lastRow="0" w:firstColumn="1" w:lastColumn="0" w:noHBand="0" w:noVBand="1"/>
      </w:tblPr>
      <w:tblGrid>
        <w:gridCol w:w="2758"/>
        <w:gridCol w:w="5736"/>
      </w:tblGrid>
      <w:tr w:rsidR="004A02F1" w14:paraId="133D231B" w14:textId="77777777" w:rsidTr="003818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002060"/>
          </w:tcPr>
          <w:p w14:paraId="4C4F2A18" w14:textId="77777777" w:rsidR="004A02F1" w:rsidRPr="002060AF" w:rsidRDefault="004A02F1" w:rsidP="002060AF">
            <w:pPr>
              <w:rPr>
                <w:rFonts w:ascii="IBM Plex Sans" w:hAnsi="IBM Plex Sans" w:cs="Arial"/>
                <w:sz w:val="20"/>
                <w:szCs w:val="20"/>
              </w:rPr>
            </w:pPr>
            <w:r w:rsidRPr="002060AF">
              <w:rPr>
                <w:rFonts w:ascii="IBM Plex Sans" w:hAnsi="IBM Plex Sans" w:cs="Arial"/>
                <w:sz w:val="20"/>
                <w:szCs w:val="20"/>
              </w:rPr>
              <w:t>Tipo de sector</w:t>
            </w:r>
          </w:p>
        </w:tc>
        <w:tc>
          <w:tcPr>
            <w:tcW w:w="5998" w:type="dxa"/>
            <w:shd w:val="clear" w:color="auto" w:fill="002060"/>
          </w:tcPr>
          <w:p w14:paraId="140EB4DC" w14:textId="77777777" w:rsidR="004A02F1" w:rsidRPr="002060AF" w:rsidRDefault="004A02F1" w:rsidP="002060AF">
            <w:pPr>
              <w:jc w:val="both"/>
              <w:cnfStyle w:val="100000000000" w:firstRow="1" w:lastRow="0" w:firstColumn="0" w:lastColumn="0" w:oddVBand="0" w:evenVBand="0" w:oddHBand="0" w:evenHBand="0" w:firstRowFirstColumn="0" w:firstRowLastColumn="0" w:lastRowFirstColumn="0" w:lastRowLastColumn="0"/>
              <w:rPr>
                <w:rFonts w:ascii="IBM Plex Sans" w:hAnsi="IBM Plex Sans" w:cs="Arial"/>
                <w:sz w:val="20"/>
                <w:szCs w:val="20"/>
              </w:rPr>
            </w:pPr>
            <w:r w:rsidRPr="002060AF">
              <w:rPr>
                <w:rFonts w:ascii="IBM Plex Sans" w:hAnsi="IBM Plex Sans" w:cs="Arial"/>
                <w:sz w:val="20"/>
                <w:szCs w:val="20"/>
              </w:rPr>
              <w:t>Definición del tipo de sector</w:t>
            </w:r>
          </w:p>
        </w:tc>
      </w:tr>
      <w:tr w:rsidR="004A02F1" w14:paraId="46DE9DEB" w14:textId="77777777" w:rsidTr="00381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002060"/>
          </w:tcPr>
          <w:p w14:paraId="2B788BB7" w14:textId="77777777" w:rsidR="004A02F1" w:rsidRPr="002060AF" w:rsidRDefault="004A02F1" w:rsidP="002060AF">
            <w:pPr>
              <w:rPr>
                <w:rFonts w:ascii="IBM Plex Sans" w:hAnsi="IBM Plex Sans" w:cs="Arial"/>
                <w:sz w:val="20"/>
                <w:szCs w:val="20"/>
              </w:rPr>
            </w:pPr>
            <w:r w:rsidRPr="002060AF">
              <w:rPr>
                <w:rFonts w:ascii="IBM Plex Sans" w:hAnsi="IBM Plex Sans" w:cs="Arial"/>
                <w:sz w:val="20"/>
                <w:szCs w:val="20"/>
              </w:rPr>
              <w:t>Agropecuario</w:t>
            </w:r>
          </w:p>
        </w:tc>
        <w:tc>
          <w:tcPr>
            <w:tcW w:w="5998" w:type="dxa"/>
          </w:tcPr>
          <w:p w14:paraId="4A94BB34" w14:textId="56E7D7AF" w:rsidR="004A02F1" w:rsidRPr="002060AF" w:rsidRDefault="004A02F1" w:rsidP="002060AF">
            <w:pPr>
              <w:jc w:val="both"/>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2060AF">
              <w:rPr>
                <w:rFonts w:ascii="IBM Plex Sans" w:hAnsi="IBM Plex Sans" w:cs="Arial"/>
                <w:sz w:val="20"/>
                <w:szCs w:val="20"/>
              </w:rPr>
              <w:t xml:space="preserve">Refiere a las medidas </w:t>
            </w:r>
            <w:r w:rsidR="001850B1" w:rsidRPr="002060AF">
              <w:rPr>
                <w:rFonts w:ascii="IBM Plex Sans" w:hAnsi="IBM Plex Sans" w:cs="Arial"/>
                <w:sz w:val="20"/>
                <w:szCs w:val="20"/>
              </w:rPr>
              <w:t xml:space="preserve">aprobadas </w:t>
            </w:r>
            <w:r w:rsidRPr="002060AF">
              <w:rPr>
                <w:rFonts w:ascii="IBM Plex Sans" w:hAnsi="IBM Plex Sans" w:cs="Arial"/>
                <w:sz w:val="20"/>
                <w:szCs w:val="20"/>
              </w:rPr>
              <w:t xml:space="preserve">por el Estado costarricense con </w:t>
            </w:r>
            <w:r w:rsidR="00833675" w:rsidRPr="002060AF">
              <w:rPr>
                <w:rFonts w:ascii="IBM Plex Sans" w:hAnsi="IBM Plex Sans" w:cs="Arial"/>
                <w:sz w:val="20"/>
                <w:szCs w:val="20"/>
              </w:rPr>
              <w:t>efectos</w:t>
            </w:r>
            <w:r w:rsidRPr="002060AF">
              <w:rPr>
                <w:rFonts w:ascii="IBM Plex Sans" w:hAnsi="IBM Plex Sans" w:cs="Arial"/>
                <w:sz w:val="20"/>
                <w:szCs w:val="20"/>
              </w:rPr>
              <w:t xml:space="preserve"> sobre </w:t>
            </w:r>
            <w:r w:rsidR="00EE5D6F" w:rsidRPr="002060AF">
              <w:rPr>
                <w:rFonts w:ascii="IBM Plex Sans" w:hAnsi="IBM Plex Sans" w:cs="Arial"/>
                <w:sz w:val="20"/>
                <w:szCs w:val="20"/>
              </w:rPr>
              <w:t>las personas y las empresas del</w:t>
            </w:r>
            <w:r w:rsidRPr="002060AF">
              <w:rPr>
                <w:rFonts w:ascii="IBM Plex Sans" w:hAnsi="IBM Plex Sans" w:cs="Arial"/>
                <w:sz w:val="20"/>
                <w:szCs w:val="20"/>
              </w:rPr>
              <w:t xml:space="preserve"> sector de agricultura, ganadería, pesca y silvicultura. Por ejemplo: el Servicio Nacional de Salud Animal (SENASA), del Ministerio de Agricultura y Ganadería, suspende a partir de este 20 de marzo y durante dos meses calendario, el trámite de actualización de registro anual del Certificado Veterinario de Operación (CVO). Esta medida aplica para más de 42 mil establecimientos</w:t>
            </w:r>
            <w:r w:rsidR="00F0440C" w:rsidRPr="002060AF">
              <w:rPr>
                <w:rFonts w:ascii="IBM Plex Sans" w:hAnsi="IBM Plex Sans" w:cs="Arial"/>
                <w:sz w:val="20"/>
                <w:szCs w:val="20"/>
              </w:rPr>
              <w:t>,</w:t>
            </w:r>
            <w:r w:rsidRPr="002060AF">
              <w:rPr>
                <w:rFonts w:ascii="IBM Plex Sans" w:hAnsi="IBM Plex Sans" w:cs="Arial"/>
                <w:sz w:val="20"/>
                <w:szCs w:val="20"/>
              </w:rPr>
              <w:t xml:space="preserve"> cuyos registros se encuentran vigentes en el Sistema Integrado de Registro de Establecimientos Agropecuarios del SENASA.</w:t>
            </w:r>
          </w:p>
        </w:tc>
      </w:tr>
      <w:tr w:rsidR="004A02F1" w14:paraId="639BD1D4" w14:textId="77777777" w:rsidTr="00381867">
        <w:tc>
          <w:tcPr>
            <w:cnfStyle w:val="001000000000" w:firstRow="0" w:lastRow="0" w:firstColumn="1" w:lastColumn="0" w:oddVBand="0" w:evenVBand="0" w:oddHBand="0" w:evenHBand="0" w:firstRowFirstColumn="0" w:firstRowLastColumn="0" w:lastRowFirstColumn="0" w:lastRowLastColumn="0"/>
            <w:tcW w:w="2830" w:type="dxa"/>
            <w:shd w:val="clear" w:color="auto" w:fill="002060"/>
          </w:tcPr>
          <w:p w14:paraId="655D2D04" w14:textId="77777777" w:rsidR="004A02F1" w:rsidRPr="002060AF" w:rsidRDefault="004A02F1" w:rsidP="002060AF">
            <w:pPr>
              <w:rPr>
                <w:rFonts w:ascii="IBM Plex Sans" w:hAnsi="IBM Plex Sans" w:cs="Arial"/>
                <w:sz w:val="20"/>
                <w:szCs w:val="20"/>
              </w:rPr>
            </w:pPr>
            <w:r w:rsidRPr="002060AF">
              <w:rPr>
                <w:rFonts w:ascii="IBM Plex Sans" w:hAnsi="IBM Plex Sans" w:cs="Arial"/>
                <w:sz w:val="20"/>
                <w:szCs w:val="20"/>
              </w:rPr>
              <w:t>Ciencia, investigación y desarrollo tecnológico</w:t>
            </w:r>
          </w:p>
        </w:tc>
        <w:tc>
          <w:tcPr>
            <w:tcW w:w="5998" w:type="dxa"/>
          </w:tcPr>
          <w:p w14:paraId="4294DAD4" w14:textId="3CB27D72" w:rsidR="004A02F1" w:rsidRPr="002060AF" w:rsidRDefault="004A02F1" w:rsidP="002060AF">
            <w:pPr>
              <w:jc w:val="both"/>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2060AF">
              <w:rPr>
                <w:rFonts w:ascii="IBM Plex Sans" w:hAnsi="IBM Plex Sans" w:cs="Arial"/>
                <w:sz w:val="20"/>
                <w:szCs w:val="20"/>
              </w:rPr>
              <w:t xml:space="preserve">Refiere a las medidas </w:t>
            </w:r>
            <w:r w:rsidR="001850B1" w:rsidRPr="002060AF">
              <w:rPr>
                <w:rFonts w:ascii="IBM Plex Sans" w:hAnsi="IBM Plex Sans" w:cs="Arial"/>
                <w:sz w:val="20"/>
                <w:szCs w:val="20"/>
              </w:rPr>
              <w:t xml:space="preserve">aprobadas </w:t>
            </w:r>
            <w:r w:rsidRPr="002060AF">
              <w:rPr>
                <w:rFonts w:ascii="IBM Plex Sans" w:hAnsi="IBM Plex Sans" w:cs="Arial"/>
                <w:sz w:val="20"/>
                <w:szCs w:val="20"/>
              </w:rPr>
              <w:t xml:space="preserve">por el Estado costarricense </w:t>
            </w:r>
            <w:r w:rsidR="00EE5D6F" w:rsidRPr="002060AF">
              <w:rPr>
                <w:rFonts w:ascii="IBM Plex Sans" w:hAnsi="IBM Plex Sans" w:cs="Arial"/>
                <w:sz w:val="20"/>
                <w:szCs w:val="20"/>
              </w:rPr>
              <w:t xml:space="preserve">sobre </w:t>
            </w:r>
            <w:r w:rsidR="00604527" w:rsidRPr="002060AF">
              <w:rPr>
                <w:rFonts w:ascii="IBM Plex Sans" w:hAnsi="IBM Plex Sans" w:cs="Arial"/>
                <w:sz w:val="20"/>
                <w:szCs w:val="20"/>
              </w:rPr>
              <w:t>materias</w:t>
            </w:r>
            <w:r w:rsidR="00AD5EB6" w:rsidRPr="002060AF">
              <w:rPr>
                <w:rFonts w:ascii="IBM Plex Sans" w:hAnsi="IBM Plex Sans" w:cs="Arial"/>
                <w:sz w:val="20"/>
                <w:szCs w:val="20"/>
              </w:rPr>
              <w:t xml:space="preserve"> de </w:t>
            </w:r>
            <w:r w:rsidRPr="002060AF">
              <w:rPr>
                <w:rFonts w:ascii="IBM Plex Sans" w:hAnsi="IBM Plex Sans" w:cs="Arial"/>
                <w:sz w:val="20"/>
                <w:szCs w:val="20"/>
              </w:rPr>
              <w:t>ciencia, investigación y desarrollo tecnológico</w:t>
            </w:r>
            <w:r w:rsidR="00EE5D6F" w:rsidRPr="002060AF">
              <w:rPr>
                <w:rFonts w:ascii="IBM Plex Sans" w:hAnsi="IBM Plex Sans" w:cs="Arial"/>
                <w:sz w:val="20"/>
                <w:szCs w:val="20"/>
              </w:rPr>
              <w:t xml:space="preserve"> con efectos </w:t>
            </w:r>
            <w:r w:rsidR="00AD5EB6" w:rsidRPr="002060AF">
              <w:rPr>
                <w:rFonts w:ascii="IBM Plex Sans" w:hAnsi="IBM Plex Sans" w:cs="Arial"/>
                <w:sz w:val="20"/>
                <w:szCs w:val="20"/>
              </w:rPr>
              <w:t>sobre</w:t>
            </w:r>
            <w:r w:rsidR="00EE5D6F" w:rsidRPr="002060AF">
              <w:rPr>
                <w:rFonts w:ascii="IBM Plex Sans" w:hAnsi="IBM Plex Sans" w:cs="Arial"/>
                <w:sz w:val="20"/>
                <w:szCs w:val="20"/>
              </w:rPr>
              <w:t xml:space="preserve"> las personas, las empresas y las comunidades</w:t>
            </w:r>
            <w:r w:rsidRPr="002060AF">
              <w:rPr>
                <w:rFonts w:ascii="IBM Plex Sans" w:hAnsi="IBM Plex Sans" w:cs="Arial"/>
                <w:sz w:val="20"/>
                <w:szCs w:val="20"/>
              </w:rPr>
              <w:t>. Por ejemplo:</w:t>
            </w:r>
            <w:r w:rsidR="00AD5EB6" w:rsidRPr="002060AF">
              <w:rPr>
                <w:rFonts w:ascii="IBM Plex Sans" w:hAnsi="IBM Plex Sans" w:cs="Arial"/>
                <w:sz w:val="20"/>
                <w:szCs w:val="20"/>
              </w:rPr>
              <w:t xml:space="preserve"> grupo de investigadores del Tecnológico de Costa Rica (TEC) trabajaron en el diseño de una careta protectora de bajo costo y fácil de fabricar, para resguardar la salud del personal médico, ante la emergencia global que se vive por el virus SARS-COV-2, que provoca la enfermedad covid-19.</w:t>
            </w:r>
          </w:p>
        </w:tc>
      </w:tr>
      <w:tr w:rsidR="004A02F1" w14:paraId="16C47AAB" w14:textId="77777777" w:rsidTr="00381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002060"/>
          </w:tcPr>
          <w:p w14:paraId="6BCD918C" w14:textId="77777777" w:rsidR="004A02F1" w:rsidRPr="002060AF" w:rsidRDefault="004A02F1" w:rsidP="002060AF">
            <w:pPr>
              <w:rPr>
                <w:rFonts w:ascii="IBM Plex Sans" w:hAnsi="IBM Plex Sans" w:cs="Arial"/>
                <w:sz w:val="20"/>
                <w:szCs w:val="20"/>
              </w:rPr>
            </w:pPr>
            <w:r w:rsidRPr="002060AF">
              <w:rPr>
                <w:rFonts w:ascii="IBM Plex Sans" w:hAnsi="IBM Plex Sans" w:cs="Arial"/>
                <w:sz w:val="20"/>
                <w:szCs w:val="20"/>
              </w:rPr>
              <w:t>Educación</w:t>
            </w:r>
          </w:p>
        </w:tc>
        <w:tc>
          <w:tcPr>
            <w:tcW w:w="5998" w:type="dxa"/>
          </w:tcPr>
          <w:p w14:paraId="48559867" w14:textId="47E63620" w:rsidR="004A02F1" w:rsidRPr="002060AF" w:rsidRDefault="004A02F1" w:rsidP="002060AF">
            <w:pPr>
              <w:jc w:val="both"/>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2060AF">
              <w:rPr>
                <w:rFonts w:ascii="IBM Plex Sans" w:hAnsi="IBM Plex Sans" w:cs="Arial"/>
                <w:sz w:val="20"/>
                <w:szCs w:val="20"/>
              </w:rPr>
              <w:t xml:space="preserve">Refiere a las medidas </w:t>
            </w:r>
            <w:r w:rsidR="001850B1" w:rsidRPr="002060AF">
              <w:rPr>
                <w:rFonts w:ascii="IBM Plex Sans" w:hAnsi="IBM Plex Sans" w:cs="Arial"/>
                <w:sz w:val="20"/>
                <w:szCs w:val="20"/>
              </w:rPr>
              <w:t xml:space="preserve">aprobadas </w:t>
            </w:r>
            <w:r w:rsidRPr="002060AF">
              <w:rPr>
                <w:rFonts w:ascii="IBM Plex Sans" w:hAnsi="IBM Plex Sans" w:cs="Arial"/>
                <w:sz w:val="20"/>
                <w:szCs w:val="20"/>
              </w:rPr>
              <w:t>por el Estado costarricense</w:t>
            </w:r>
            <w:r w:rsidR="00604527" w:rsidRPr="002060AF">
              <w:rPr>
                <w:rFonts w:ascii="IBM Plex Sans" w:hAnsi="IBM Plex Sans" w:cs="Arial"/>
                <w:sz w:val="20"/>
                <w:szCs w:val="20"/>
              </w:rPr>
              <w:t xml:space="preserve"> sobre los servicios de capacitación y formación profesional con efectos sobre las personas</w:t>
            </w:r>
            <w:r w:rsidRPr="002060AF">
              <w:rPr>
                <w:rFonts w:ascii="IBM Plex Sans" w:hAnsi="IBM Plex Sans" w:cs="Arial"/>
                <w:sz w:val="20"/>
                <w:szCs w:val="20"/>
              </w:rPr>
              <w:t>. Por ejemplo: ante la suspensión de lecciones en centros educativos, el Ministerio de Educación Pública (MEP) desarrolla e implementa la estrategia “Aprendo en casa”.</w:t>
            </w:r>
          </w:p>
        </w:tc>
      </w:tr>
      <w:tr w:rsidR="004A02F1" w14:paraId="4C29C00C" w14:textId="77777777" w:rsidTr="00381867">
        <w:tc>
          <w:tcPr>
            <w:cnfStyle w:val="001000000000" w:firstRow="0" w:lastRow="0" w:firstColumn="1" w:lastColumn="0" w:oddVBand="0" w:evenVBand="0" w:oddHBand="0" w:evenHBand="0" w:firstRowFirstColumn="0" w:firstRowLastColumn="0" w:lastRowFirstColumn="0" w:lastRowLastColumn="0"/>
            <w:tcW w:w="2830" w:type="dxa"/>
            <w:shd w:val="clear" w:color="auto" w:fill="002060"/>
          </w:tcPr>
          <w:p w14:paraId="0AA29E08" w14:textId="77777777" w:rsidR="004A02F1" w:rsidRPr="002060AF" w:rsidRDefault="004A02F1" w:rsidP="002060AF">
            <w:pPr>
              <w:rPr>
                <w:rFonts w:ascii="IBM Plex Sans" w:hAnsi="IBM Plex Sans" w:cs="Arial"/>
                <w:sz w:val="20"/>
                <w:szCs w:val="20"/>
              </w:rPr>
            </w:pPr>
            <w:r w:rsidRPr="002060AF">
              <w:rPr>
                <w:rFonts w:ascii="IBM Plex Sans" w:hAnsi="IBM Plex Sans" w:cs="Arial"/>
                <w:sz w:val="20"/>
                <w:szCs w:val="20"/>
              </w:rPr>
              <w:t>Financiero</w:t>
            </w:r>
          </w:p>
        </w:tc>
        <w:tc>
          <w:tcPr>
            <w:tcW w:w="5998" w:type="dxa"/>
          </w:tcPr>
          <w:p w14:paraId="1B955D51" w14:textId="14249233" w:rsidR="004A02F1" w:rsidRPr="002060AF" w:rsidRDefault="004A02F1" w:rsidP="002060AF">
            <w:pPr>
              <w:jc w:val="both"/>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2060AF">
              <w:rPr>
                <w:rFonts w:ascii="IBM Plex Sans" w:hAnsi="IBM Plex Sans" w:cs="Arial"/>
                <w:sz w:val="20"/>
                <w:szCs w:val="20"/>
              </w:rPr>
              <w:t xml:space="preserve">Refiere a las medidas </w:t>
            </w:r>
            <w:r w:rsidR="001850B1" w:rsidRPr="002060AF">
              <w:rPr>
                <w:rFonts w:ascii="IBM Plex Sans" w:hAnsi="IBM Plex Sans" w:cs="Arial"/>
                <w:sz w:val="20"/>
                <w:szCs w:val="20"/>
              </w:rPr>
              <w:t xml:space="preserve">aprobadas </w:t>
            </w:r>
            <w:r w:rsidRPr="002060AF">
              <w:rPr>
                <w:rFonts w:ascii="IBM Plex Sans" w:hAnsi="IBM Plex Sans" w:cs="Arial"/>
                <w:sz w:val="20"/>
                <w:szCs w:val="20"/>
              </w:rPr>
              <w:t xml:space="preserve">por el Estado costarricense con </w:t>
            </w:r>
            <w:r w:rsidR="009C461C" w:rsidRPr="002060AF">
              <w:rPr>
                <w:rFonts w:ascii="IBM Plex Sans" w:hAnsi="IBM Plex Sans" w:cs="Arial"/>
                <w:sz w:val="20"/>
                <w:szCs w:val="20"/>
              </w:rPr>
              <w:t>efectos</w:t>
            </w:r>
            <w:r w:rsidRPr="002060AF">
              <w:rPr>
                <w:rFonts w:ascii="IBM Plex Sans" w:hAnsi="IBM Plex Sans" w:cs="Arial"/>
                <w:sz w:val="20"/>
                <w:szCs w:val="20"/>
              </w:rPr>
              <w:t xml:space="preserve"> sobre el sector financiero</w:t>
            </w:r>
            <w:r w:rsidR="009C461C" w:rsidRPr="002060AF">
              <w:rPr>
                <w:rFonts w:ascii="IBM Plex Sans" w:hAnsi="IBM Plex Sans" w:cs="Arial"/>
                <w:sz w:val="20"/>
                <w:szCs w:val="20"/>
              </w:rPr>
              <w:t xml:space="preserve"> (entidades bancarias, ahorradores, deudores, inversores, entre otros)</w:t>
            </w:r>
            <w:r w:rsidRPr="002060AF">
              <w:rPr>
                <w:rFonts w:ascii="IBM Plex Sans" w:hAnsi="IBM Plex Sans" w:cs="Arial"/>
                <w:sz w:val="20"/>
                <w:szCs w:val="20"/>
              </w:rPr>
              <w:t>. Por ejemplo: se brindará un periodo de gracia total de 6 o 12 meses, en los que el cliente pagará únicamente lo que corresponde a pólizas relacionadas con el crédito</w:t>
            </w:r>
            <w:r w:rsidR="00F0440C" w:rsidRPr="002060AF">
              <w:rPr>
                <w:rFonts w:ascii="IBM Plex Sans" w:hAnsi="IBM Plex Sans" w:cs="Arial"/>
                <w:sz w:val="20"/>
                <w:szCs w:val="20"/>
              </w:rPr>
              <w:t>;</w:t>
            </w:r>
            <w:r w:rsidRPr="002060AF">
              <w:rPr>
                <w:rFonts w:ascii="IBM Plex Sans" w:hAnsi="IBM Plex Sans" w:cs="Arial"/>
                <w:sz w:val="20"/>
                <w:szCs w:val="20"/>
              </w:rPr>
              <w:t xml:space="preserve"> es decir, el capital y los intereses no se les cobrará durante ese periodo, dicho cobro se realizará posterior al periodo de gracia total.</w:t>
            </w:r>
          </w:p>
        </w:tc>
      </w:tr>
      <w:tr w:rsidR="004A02F1" w14:paraId="7E313A3F" w14:textId="77777777" w:rsidTr="00381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002060"/>
          </w:tcPr>
          <w:p w14:paraId="78B95B1B" w14:textId="77777777" w:rsidR="004A02F1" w:rsidRPr="002060AF" w:rsidRDefault="004A02F1" w:rsidP="002060AF">
            <w:pPr>
              <w:rPr>
                <w:rFonts w:ascii="IBM Plex Sans" w:hAnsi="IBM Plex Sans" w:cs="Arial"/>
                <w:sz w:val="20"/>
                <w:szCs w:val="20"/>
              </w:rPr>
            </w:pPr>
            <w:r w:rsidRPr="002060AF">
              <w:rPr>
                <w:rFonts w:ascii="IBM Plex Sans" w:hAnsi="IBM Plex Sans" w:cs="Arial"/>
                <w:sz w:val="20"/>
                <w:szCs w:val="20"/>
              </w:rPr>
              <w:lastRenderedPageBreak/>
              <w:t>Gubernamental</w:t>
            </w:r>
          </w:p>
        </w:tc>
        <w:tc>
          <w:tcPr>
            <w:tcW w:w="5998" w:type="dxa"/>
          </w:tcPr>
          <w:p w14:paraId="79E91756" w14:textId="6F5AFAEC" w:rsidR="004A02F1" w:rsidRPr="002060AF" w:rsidRDefault="004A02F1" w:rsidP="002060AF">
            <w:pPr>
              <w:jc w:val="both"/>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2060AF">
              <w:rPr>
                <w:rFonts w:ascii="IBM Plex Sans" w:hAnsi="IBM Plex Sans" w:cs="Arial"/>
                <w:sz w:val="20"/>
                <w:szCs w:val="20"/>
              </w:rPr>
              <w:t xml:space="preserve">Refiere a las medidas </w:t>
            </w:r>
            <w:r w:rsidR="001850B1" w:rsidRPr="002060AF">
              <w:rPr>
                <w:rFonts w:ascii="IBM Plex Sans" w:hAnsi="IBM Plex Sans" w:cs="Arial"/>
                <w:sz w:val="20"/>
                <w:szCs w:val="20"/>
              </w:rPr>
              <w:t xml:space="preserve">aprobadas </w:t>
            </w:r>
            <w:r w:rsidRPr="002060AF">
              <w:rPr>
                <w:rFonts w:ascii="IBM Plex Sans" w:hAnsi="IBM Plex Sans" w:cs="Arial"/>
                <w:sz w:val="20"/>
                <w:szCs w:val="20"/>
              </w:rPr>
              <w:t xml:space="preserve">por el Estado costarricense con </w:t>
            </w:r>
            <w:r w:rsidR="00BC09F6" w:rsidRPr="002060AF">
              <w:rPr>
                <w:rFonts w:ascii="IBM Plex Sans" w:hAnsi="IBM Plex Sans" w:cs="Arial"/>
                <w:sz w:val="20"/>
                <w:szCs w:val="20"/>
              </w:rPr>
              <w:t>efectos</w:t>
            </w:r>
            <w:r w:rsidRPr="002060AF">
              <w:rPr>
                <w:rFonts w:ascii="IBM Plex Sans" w:hAnsi="IBM Plex Sans" w:cs="Arial"/>
                <w:sz w:val="20"/>
                <w:szCs w:val="20"/>
              </w:rPr>
              <w:t xml:space="preserve"> sobre las instituciones y </w:t>
            </w:r>
            <w:r w:rsidR="00BC09F6" w:rsidRPr="002060AF">
              <w:rPr>
                <w:rFonts w:ascii="IBM Plex Sans" w:hAnsi="IBM Plex Sans" w:cs="Arial"/>
                <w:sz w:val="20"/>
                <w:szCs w:val="20"/>
              </w:rPr>
              <w:t xml:space="preserve">los </w:t>
            </w:r>
            <w:r w:rsidRPr="002060AF">
              <w:rPr>
                <w:rFonts w:ascii="IBM Plex Sans" w:hAnsi="IBM Plex Sans" w:cs="Arial"/>
                <w:sz w:val="20"/>
                <w:szCs w:val="20"/>
              </w:rPr>
              <w:t>funcionarios públicos. Por ejemplo: se reforma el artículo 47 del Reglamento de la Asamblea Legislativa. El texto di</w:t>
            </w:r>
            <w:r w:rsidR="00BC09F6" w:rsidRPr="002060AF">
              <w:rPr>
                <w:rFonts w:ascii="IBM Plex Sans" w:hAnsi="IBM Plex Sans" w:cs="Arial"/>
                <w:sz w:val="20"/>
                <w:szCs w:val="20"/>
              </w:rPr>
              <w:t>ce</w:t>
            </w:r>
            <w:r w:rsidRPr="002060AF">
              <w:rPr>
                <w:rFonts w:ascii="IBM Plex Sans" w:hAnsi="IBM Plex Sans" w:cs="Arial"/>
                <w:sz w:val="20"/>
                <w:szCs w:val="20"/>
              </w:rPr>
              <w:t>: “Artículo 47. Traslado de la sede del Plenario El Plenario podrá trasladar su sede a otro lugar de la República, mediante votación no menor de dos terceras partes del total de sus miembros. No obstante, en las sesiones que celebre fuera de su sede oficial, no podrá conocer asuntos ajenos a los estrictamente protocolarios que hayan motivado su traslado, salvo que dicho traslado obedezca a motivos fundados en casos de conmoción interna, calamidad pública o emergencia nacional. En esos casos, la Asamblea puede actuar en el pleno uso de todas sus facultades constitucionales, legales y reglamentarias”.</w:t>
            </w:r>
          </w:p>
        </w:tc>
      </w:tr>
      <w:tr w:rsidR="004A02F1" w14:paraId="4B7A423C" w14:textId="77777777" w:rsidTr="00381867">
        <w:tc>
          <w:tcPr>
            <w:cnfStyle w:val="001000000000" w:firstRow="0" w:lastRow="0" w:firstColumn="1" w:lastColumn="0" w:oddVBand="0" w:evenVBand="0" w:oddHBand="0" w:evenHBand="0" w:firstRowFirstColumn="0" w:firstRowLastColumn="0" w:lastRowFirstColumn="0" w:lastRowLastColumn="0"/>
            <w:tcW w:w="2830" w:type="dxa"/>
            <w:shd w:val="clear" w:color="auto" w:fill="002060"/>
          </w:tcPr>
          <w:p w14:paraId="41947467" w14:textId="77777777" w:rsidR="004A02F1" w:rsidRPr="002060AF" w:rsidRDefault="004A02F1" w:rsidP="002060AF">
            <w:pPr>
              <w:rPr>
                <w:rFonts w:ascii="IBM Plex Sans" w:hAnsi="IBM Plex Sans" w:cs="Arial"/>
                <w:sz w:val="20"/>
                <w:szCs w:val="20"/>
              </w:rPr>
            </w:pPr>
            <w:r w:rsidRPr="002060AF">
              <w:rPr>
                <w:rFonts w:ascii="IBM Plex Sans" w:hAnsi="IBM Plex Sans" w:cs="Arial"/>
                <w:sz w:val="20"/>
                <w:szCs w:val="20"/>
              </w:rPr>
              <w:t>Industrial</w:t>
            </w:r>
          </w:p>
        </w:tc>
        <w:tc>
          <w:tcPr>
            <w:tcW w:w="5998" w:type="dxa"/>
          </w:tcPr>
          <w:p w14:paraId="77427472" w14:textId="2A1F934E" w:rsidR="004A02F1" w:rsidRPr="002060AF" w:rsidRDefault="004A02F1" w:rsidP="002060AF">
            <w:pPr>
              <w:jc w:val="both"/>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2060AF">
              <w:rPr>
                <w:rFonts w:ascii="IBM Plex Sans" w:hAnsi="IBM Plex Sans" w:cs="Arial"/>
                <w:sz w:val="20"/>
                <w:szCs w:val="20"/>
              </w:rPr>
              <w:t xml:space="preserve">Refiere a las medidas </w:t>
            </w:r>
            <w:r w:rsidR="001850B1" w:rsidRPr="002060AF">
              <w:rPr>
                <w:rFonts w:ascii="IBM Plex Sans" w:hAnsi="IBM Plex Sans" w:cs="Arial"/>
                <w:sz w:val="20"/>
                <w:szCs w:val="20"/>
              </w:rPr>
              <w:t xml:space="preserve">aprobadas </w:t>
            </w:r>
            <w:r w:rsidRPr="002060AF">
              <w:rPr>
                <w:rFonts w:ascii="IBM Plex Sans" w:hAnsi="IBM Plex Sans" w:cs="Arial"/>
                <w:sz w:val="20"/>
                <w:szCs w:val="20"/>
              </w:rPr>
              <w:t xml:space="preserve">por el Estado costarricense </w:t>
            </w:r>
            <w:r w:rsidR="00091928" w:rsidRPr="002060AF">
              <w:rPr>
                <w:rFonts w:ascii="IBM Plex Sans" w:hAnsi="IBM Plex Sans" w:cs="Arial"/>
                <w:sz w:val="20"/>
                <w:szCs w:val="20"/>
              </w:rPr>
              <w:t xml:space="preserve">con efectos sobre las personas y las empresas del sector </w:t>
            </w:r>
            <w:r w:rsidRPr="002060AF">
              <w:rPr>
                <w:rFonts w:ascii="IBM Plex Sans" w:hAnsi="IBM Plex Sans" w:cs="Arial"/>
                <w:sz w:val="20"/>
                <w:szCs w:val="20"/>
              </w:rPr>
              <w:t>industrial. Por ejemplo:</w:t>
            </w:r>
            <w:r w:rsidR="00091928" w:rsidRPr="002060AF">
              <w:rPr>
                <w:rFonts w:ascii="IBM Plex Sans" w:hAnsi="IBM Plex Sans" w:cs="Arial"/>
                <w:sz w:val="20"/>
                <w:szCs w:val="20"/>
              </w:rPr>
              <w:t xml:space="preserve"> se producen diariamente 2.500 botellas de solución antiséptica de 350 ml, así como en 2.500 litros de alcohol de fricciones de 70°, para mercado abierto. Sin embargo, las cantidades podrían llegar a aumentar hasta las 6.000 diarias, de acuerdo con la evolución de la demanda.</w:t>
            </w:r>
          </w:p>
        </w:tc>
      </w:tr>
      <w:tr w:rsidR="004A02F1" w14:paraId="09A2A6CA" w14:textId="77777777" w:rsidTr="00381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002060"/>
          </w:tcPr>
          <w:p w14:paraId="2C4BC559" w14:textId="77777777" w:rsidR="004A02F1" w:rsidRPr="002060AF" w:rsidRDefault="004A02F1" w:rsidP="002060AF">
            <w:pPr>
              <w:rPr>
                <w:rFonts w:ascii="IBM Plex Sans" w:hAnsi="IBM Plex Sans" w:cs="Arial"/>
                <w:sz w:val="20"/>
                <w:szCs w:val="20"/>
              </w:rPr>
            </w:pPr>
            <w:r w:rsidRPr="002060AF">
              <w:rPr>
                <w:rFonts w:ascii="IBM Plex Sans" w:hAnsi="IBM Plex Sans" w:cs="Arial"/>
                <w:sz w:val="20"/>
                <w:szCs w:val="20"/>
              </w:rPr>
              <w:t>Internacional</w:t>
            </w:r>
          </w:p>
        </w:tc>
        <w:tc>
          <w:tcPr>
            <w:tcW w:w="5998" w:type="dxa"/>
          </w:tcPr>
          <w:p w14:paraId="71DEC118" w14:textId="3028C726" w:rsidR="004A02F1" w:rsidRPr="002060AF" w:rsidRDefault="004A02F1" w:rsidP="002060AF">
            <w:pPr>
              <w:jc w:val="both"/>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2060AF">
              <w:rPr>
                <w:rFonts w:ascii="IBM Plex Sans" w:hAnsi="IBM Plex Sans" w:cs="Arial"/>
                <w:sz w:val="20"/>
                <w:szCs w:val="20"/>
              </w:rPr>
              <w:t xml:space="preserve">Refiere a las medidas </w:t>
            </w:r>
            <w:r w:rsidR="001850B1" w:rsidRPr="002060AF">
              <w:rPr>
                <w:rFonts w:ascii="IBM Plex Sans" w:hAnsi="IBM Plex Sans" w:cs="Arial"/>
                <w:sz w:val="20"/>
                <w:szCs w:val="20"/>
              </w:rPr>
              <w:t xml:space="preserve">aprobadas </w:t>
            </w:r>
            <w:r w:rsidRPr="002060AF">
              <w:rPr>
                <w:rFonts w:ascii="IBM Plex Sans" w:hAnsi="IBM Plex Sans" w:cs="Arial"/>
                <w:sz w:val="20"/>
                <w:szCs w:val="20"/>
              </w:rPr>
              <w:t xml:space="preserve">por el Estado costarricense con </w:t>
            </w:r>
            <w:r w:rsidR="00C37DFB" w:rsidRPr="002060AF">
              <w:rPr>
                <w:rFonts w:ascii="IBM Plex Sans" w:hAnsi="IBM Plex Sans" w:cs="Arial"/>
                <w:sz w:val="20"/>
                <w:szCs w:val="20"/>
              </w:rPr>
              <w:t xml:space="preserve">efectos sobre las personas y las empresas </w:t>
            </w:r>
            <w:r w:rsidRPr="002060AF">
              <w:rPr>
                <w:rFonts w:ascii="IBM Plex Sans" w:hAnsi="IBM Plex Sans" w:cs="Arial"/>
                <w:sz w:val="20"/>
                <w:szCs w:val="20"/>
              </w:rPr>
              <w:t>a nivel internacional. Por ejemplo:</w:t>
            </w:r>
            <w:r w:rsidR="00790F3D" w:rsidRPr="002060AF">
              <w:rPr>
                <w:rFonts w:ascii="IBM Plex Sans" w:hAnsi="IBM Plex Sans" w:cs="Arial"/>
                <w:sz w:val="20"/>
                <w:szCs w:val="20"/>
              </w:rPr>
              <w:t xml:space="preserve"> </w:t>
            </w:r>
            <w:r w:rsidR="00C37DFB" w:rsidRPr="002060AF">
              <w:rPr>
                <w:rFonts w:ascii="IBM Plex Sans" w:hAnsi="IBM Plex Sans" w:cs="Arial"/>
                <w:sz w:val="20"/>
                <w:szCs w:val="20"/>
              </w:rPr>
              <w:t>el Ministerio de Relaciones Exteriores y Culto</w:t>
            </w:r>
            <w:r w:rsidR="00790F3D" w:rsidRPr="002060AF">
              <w:rPr>
                <w:rFonts w:ascii="IBM Plex Sans" w:hAnsi="IBM Plex Sans" w:cs="Arial"/>
                <w:sz w:val="20"/>
                <w:szCs w:val="20"/>
              </w:rPr>
              <w:t xml:space="preserve"> establece como acción prioritaria</w:t>
            </w:r>
            <w:r w:rsidR="00C37DFB" w:rsidRPr="002060AF">
              <w:rPr>
                <w:rFonts w:ascii="IBM Plex Sans" w:hAnsi="IBM Plex Sans" w:cs="Arial"/>
                <w:sz w:val="20"/>
                <w:szCs w:val="20"/>
              </w:rPr>
              <w:t>, a través del Servicio Exterior de la República, proporcionar especial protecció</w:t>
            </w:r>
            <w:r w:rsidR="00790F3D" w:rsidRPr="002060AF">
              <w:rPr>
                <w:rFonts w:ascii="IBM Plex Sans" w:hAnsi="IBM Plex Sans" w:cs="Arial"/>
                <w:sz w:val="20"/>
                <w:szCs w:val="20"/>
              </w:rPr>
              <w:t xml:space="preserve">n </w:t>
            </w:r>
            <w:r w:rsidR="00C37DFB" w:rsidRPr="002060AF">
              <w:rPr>
                <w:rFonts w:ascii="IBM Plex Sans" w:hAnsi="IBM Plex Sans" w:cs="Arial"/>
                <w:sz w:val="20"/>
                <w:szCs w:val="20"/>
              </w:rPr>
              <w:t xml:space="preserve">a las personas costarricenses que se encuentren en el extranjero en una situación de vulnerabilidad, </w:t>
            </w:r>
            <w:r w:rsidR="00790F3D" w:rsidRPr="002060AF">
              <w:rPr>
                <w:rFonts w:ascii="IBM Plex Sans" w:hAnsi="IBM Plex Sans" w:cs="Arial"/>
                <w:sz w:val="20"/>
                <w:szCs w:val="20"/>
              </w:rPr>
              <w:t xml:space="preserve">mediante asistencia humanitaria </w:t>
            </w:r>
            <w:r w:rsidR="00C37DFB" w:rsidRPr="002060AF">
              <w:rPr>
                <w:rFonts w:ascii="IBM Plex Sans" w:hAnsi="IBM Plex Sans" w:cs="Arial"/>
                <w:sz w:val="20"/>
                <w:szCs w:val="20"/>
              </w:rPr>
              <w:t>como consecuencia de la pandemia del virus COVID-19. El Ministerio de Relaciones Exteriores y Culto realizará las actuaciones necesarias para autorizar a la</w:t>
            </w:r>
            <w:r w:rsidR="00790F3D" w:rsidRPr="002060AF">
              <w:rPr>
                <w:rFonts w:ascii="IBM Plex Sans" w:hAnsi="IBM Plex Sans" w:cs="Arial"/>
                <w:sz w:val="20"/>
                <w:szCs w:val="20"/>
              </w:rPr>
              <w:t>s</w:t>
            </w:r>
            <w:r w:rsidR="00C37DFB" w:rsidRPr="002060AF">
              <w:rPr>
                <w:rFonts w:ascii="IBM Plex Sans" w:hAnsi="IBM Plex Sans" w:cs="Arial"/>
                <w:sz w:val="20"/>
                <w:szCs w:val="20"/>
              </w:rPr>
              <w:t xml:space="preserve"> Misiones Diplomáticas y Oficinas Consulares del Estado costarricense a ejecutar los gastos correspondientes para brindar asistencia humanitaria. Estos gastos podrán ser hospedaje, alimentación, transporte, medicamentos, artículos de limpieza e higiene personal.</w:t>
            </w:r>
          </w:p>
        </w:tc>
      </w:tr>
      <w:tr w:rsidR="004A02F1" w14:paraId="7A0E4A23" w14:textId="77777777" w:rsidTr="00381867">
        <w:tc>
          <w:tcPr>
            <w:cnfStyle w:val="001000000000" w:firstRow="0" w:lastRow="0" w:firstColumn="1" w:lastColumn="0" w:oddVBand="0" w:evenVBand="0" w:oddHBand="0" w:evenHBand="0" w:firstRowFirstColumn="0" w:firstRowLastColumn="0" w:lastRowFirstColumn="0" w:lastRowLastColumn="0"/>
            <w:tcW w:w="2830" w:type="dxa"/>
            <w:shd w:val="clear" w:color="auto" w:fill="002060"/>
          </w:tcPr>
          <w:p w14:paraId="3FE54A9B" w14:textId="77777777" w:rsidR="004A02F1" w:rsidRPr="002060AF" w:rsidRDefault="004A02F1" w:rsidP="002060AF">
            <w:pPr>
              <w:rPr>
                <w:rFonts w:ascii="IBM Plex Sans" w:hAnsi="IBM Plex Sans" w:cs="Arial"/>
                <w:sz w:val="20"/>
                <w:szCs w:val="20"/>
              </w:rPr>
            </w:pPr>
            <w:r w:rsidRPr="002060AF">
              <w:rPr>
                <w:rFonts w:ascii="IBM Plex Sans" w:hAnsi="IBM Plex Sans" w:cs="Arial"/>
                <w:sz w:val="20"/>
                <w:szCs w:val="20"/>
              </w:rPr>
              <w:t>No gubernamental</w:t>
            </w:r>
          </w:p>
        </w:tc>
        <w:tc>
          <w:tcPr>
            <w:tcW w:w="5998" w:type="dxa"/>
          </w:tcPr>
          <w:p w14:paraId="5A6BF120" w14:textId="28F346B7" w:rsidR="004A02F1" w:rsidRPr="002060AF" w:rsidRDefault="004A02F1" w:rsidP="002060AF">
            <w:pPr>
              <w:jc w:val="both"/>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2060AF">
              <w:rPr>
                <w:rFonts w:ascii="IBM Plex Sans" w:hAnsi="IBM Plex Sans" w:cs="Arial"/>
                <w:sz w:val="20"/>
                <w:szCs w:val="20"/>
              </w:rPr>
              <w:t xml:space="preserve">Refiere a las medidas </w:t>
            </w:r>
            <w:r w:rsidR="001850B1" w:rsidRPr="002060AF">
              <w:rPr>
                <w:rFonts w:ascii="IBM Plex Sans" w:hAnsi="IBM Plex Sans" w:cs="Arial"/>
                <w:sz w:val="20"/>
                <w:szCs w:val="20"/>
              </w:rPr>
              <w:t xml:space="preserve">aprobadas </w:t>
            </w:r>
            <w:r w:rsidRPr="002060AF">
              <w:rPr>
                <w:rFonts w:ascii="IBM Plex Sans" w:hAnsi="IBM Plex Sans" w:cs="Arial"/>
                <w:sz w:val="20"/>
                <w:szCs w:val="20"/>
              </w:rPr>
              <w:t xml:space="preserve">por el Estado costarricense con </w:t>
            </w:r>
            <w:r w:rsidR="00790F3D" w:rsidRPr="002060AF">
              <w:rPr>
                <w:rFonts w:ascii="IBM Plex Sans" w:hAnsi="IBM Plex Sans" w:cs="Arial"/>
                <w:sz w:val="20"/>
                <w:szCs w:val="20"/>
              </w:rPr>
              <w:t>efectos</w:t>
            </w:r>
            <w:r w:rsidRPr="002060AF">
              <w:rPr>
                <w:rFonts w:ascii="IBM Plex Sans" w:hAnsi="IBM Plex Sans" w:cs="Arial"/>
                <w:sz w:val="20"/>
                <w:szCs w:val="20"/>
              </w:rPr>
              <w:t xml:space="preserve"> sobre las organizaciones sin fines de lucro que persiguen una finalidad social</w:t>
            </w:r>
            <w:r w:rsidR="00790F3D" w:rsidRPr="002060AF">
              <w:rPr>
                <w:rFonts w:ascii="IBM Plex Sans" w:hAnsi="IBM Plex Sans" w:cs="Arial"/>
                <w:sz w:val="20"/>
                <w:szCs w:val="20"/>
              </w:rPr>
              <w:t>, organizaciones deportivas y culturales, entre otros. Por ejemplo:</w:t>
            </w:r>
            <w:r w:rsidR="00313274" w:rsidRPr="002060AF">
              <w:rPr>
                <w:rFonts w:ascii="IBM Plex Sans" w:hAnsi="IBM Plex Sans" w:cs="Arial"/>
                <w:sz w:val="20"/>
                <w:szCs w:val="20"/>
              </w:rPr>
              <w:t xml:space="preserve"> a partir del “Protocolo sectorial para la prevención del COVID-19 en el sector deporte y recreación”, las organizaciones encargadas de clubes deportivos, instalaciones y eventos deportivos y recreativos de concentración masiva</w:t>
            </w:r>
            <w:r w:rsidR="0066187D" w:rsidRPr="002060AF">
              <w:rPr>
                <w:rFonts w:ascii="IBM Plex Sans" w:hAnsi="IBM Plex Sans" w:cs="Arial"/>
                <w:sz w:val="20"/>
                <w:szCs w:val="20"/>
              </w:rPr>
              <w:t>,</w:t>
            </w:r>
            <w:r w:rsidR="00313274" w:rsidRPr="002060AF">
              <w:rPr>
                <w:rFonts w:ascii="IBM Plex Sans" w:hAnsi="IBM Plex Sans" w:cs="Arial"/>
                <w:sz w:val="20"/>
                <w:szCs w:val="20"/>
              </w:rPr>
              <w:t xml:space="preserve"> podrán elaborar sus propias guías para reactivar sus actividades previniendo el contagio del virus. Se trata de un documento que contiene los requisitos mínimos para la elaboración de una guía técnica sanitaria sectorial bajo las definiciones emitidas por el Ministerio de Salud, donde cada sector deberá completar con rigurosidad la información solicitada por las autoridades y acatar las disposiciones emanadas en el contexto de la pandemia.</w:t>
            </w:r>
          </w:p>
        </w:tc>
      </w:tr>
      <w:tr w:rsidR="004A02F1" w14:paraId="0E2EEFBE" w14:textId="77777777" w:rsidTr="00381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002060"/>
          </w:tcPr>
          <w:p w14:paraId="113F280A" w14:textId="77777777" w:rsidR="004A02F1" w:rsidRPr="002060AF" w:rsidRDefault="004A02F1" w:rsidP="002060AF">
            <w:pPr>
              <w:rPr>
                <w:rFonts w:ascii="IBM Plex Sans" w:hAnsi="IBM Plex Sans" w:cs="Arial"/>
                <w:sz w:val="20"/>
                <w:szCs w:val="20"/>
              </w:rPr>
            </w:pPr>
            <w:r w:rsidRPr="002060AF">
              <w:rPr>
                <w:rFonts w:ascii="IBM Plex Sans" w:hAnsi="IBM Plex Sans" w:cs="Arial"/>
                <w:sz w:val="20"/>
                <w:szCs w:val="20"/>
              </w:rPr>
              <w:t>Salud y seguridad social</w:t>
            </w:r>
          </w:p>
        </w:tc>
        <w:tc>
          <w:tcPr>
            <w:tcW w:w="5998" w:type="dxa"/>
          </w:tcPr>
          <w:p w14:paraId="3EEFBCE8" w14:textId="43B2CF60" w:rsidR="004A02F1" w:rsidRPr="002060AF" w:rsidRDefault="004A02F1" w:rsidP="002060AF">
            <w:pPr>
              <w:jc w:val="both"/>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2060AF">
              <w:rPr>
                <w:rFonts w:ascii="IBM Plex Sans" w:hAnsi="IBM Plex Sans" w:cs="Arial"/>
                <w:sz w:val="20"/>
                <w:szCs w:val="20"/>
              </w:rPr>
              <w:t xml:space="preserve">Refiere a las medidas </w:t>
            </w:r>
            <w:r w:rsidR="001850B1" w:rsidRPr="002060AF">
              <w:rPr>
                <w:rFonts w:ascii="IBM Plex Sans" w:hAnsi="IBM Plex Sans" w:cs="Arial"/>
                <w:sz w:val="20"/>
                <w:szCs w:val="20"/>
              </w:rPr>
              <w:t xml:space="preserve">aprobadas </w:t>
            </w:r>
            <w:r w:rsidRPr="002060AF">
              <w:rPr>
                <w:rFonts w:ascii="IBM Plex Sans" w:hAnsi="IBM Plex Sans" w:cs="Arial"/>
                <w:sz w:val="20"/>
                <w:szCs w:val="20"/>
              </w:rPr>
              <w:t xml:space="preserve">por el Estado costarricense </w:t>
            </w:r>
            <w:r w:rsidR="0066187D" w:rsidRPr="002060AF">
              <w:rPr>
                <w:rFonts w:ascii="IBM Plex Sans" w:hAnsi="IBM Plex Sans" w:cs="Arial"/>
                <w:sz w:val="20"/>
                <w:szCs w:val="20"/>
              </w:rPr>
              <w:t xml:space="preserve">sobre materias de </w:t>
            </w:r>
            <w:r w:rsidRPr="002060AF">
              <w:rPr>
                <w:rFonts w:ascii="IBM Plex Sans" w:hAnsi="IBM Plex Sans" w:cs="Arial"/>
                <w:sz w:val="20"/>
                <w:szCs w:val="20"/>
              </w:rPr>
              <w:t>salud y seguridad social</w:t>
            </w:r>
            <w:r w:rsidR="0066187D" w:rsidRPr="002060AF">
              <w:rPr>
                <w:rFonts w:ascii="IBM Plex Sans" w:hAnsi="IBM Plex Sans" w:cs="Arial"/>
                <w:sz w:val="20"/>
                <w:szCs w:val="20"/>
              </w:rPr>
              <w:t xml:space="preserve"> con efectos sobre </w:t>
            </w:r>
            <w:r w:rsidR="0066187D" w:rsidRPr="002060AF">
              <w:rPr>
                <w:rFonts w:ascii="IBM Plex Sans" w:hAnsi="IBM Plex Sans" w:cs="Arial"/>
                <w:sz w:val="20"/>
                <w:szCs w:val="20"/>
              </w:rPr>
              <w:lastRenderedPageBreak/>
              <w:t>las personas, las empresas y las comunidades</w:t>
            </w:r>
            <w:r w:rsidRPr="002060AF">
              <w:rPr>
                <w:rFonts w:ascii="IBM Plex Sans" w:hAnsi="IBM Plex Sans" w:cs="Arial"/>
                <w:sz w:val="20"/>
                <w:szCs w:val="20"/>
              </w:rPr>
              <w:t>. Por ejemplo:</w:t>
            </w:r>
            <w:r w:rsidR="0066187D" w:rsidRPr="002060AF">
              <w:rPr>
                <w:rFonts w:ascii="IBM Plex Sans" w:hAnsi="IBM Plex Sans" w:cs="Arial"/>
                <w:sz w:val="20"/>
                <w:szCs w:val="20"/>
              </w:rPr>
              <w:t xml:space="preserve"> </w:t>
            </w:r>
            <w:r w:rsidR="00040775" w:rsidRPr="002060AF">
              <w:rPr>
                <w:rFonts w:ascii="IBM Plex Sans" w:hAnsi="IBM Plex Sans" w:cs="Arial"/>
                <w:sz w:val="20"/>
                <w:szCs w:val="20"/>
              </w:rPr>
              <w:t>se pospone</w:t>
            </w:r>
            <w:r w:rsidR="0066187D" w:rsidRPr="002060AF">
              <w:rPr>
                <w:rFonts w:ascii="IBM Plex Sans" w:hAnsi="IBM Plex Sans" w:cs="Arial"/>
                <w:sz w:val="20"/>
                <w:szCs w:val="20"/>
              </w:rPr>
              <w:t xml:space="preserve"> hasta el 30 de junio de 2020, las gestiones de cobro a patronos y trabajadores independientes, específicamente las relacionadas con el inicio de procedimiento de cierre de negocios por morosidad y la ejecución material del cierre; la presentación de demandas civiles y denuncias por retención indebida. Estas últimas siempre y cuando no se incurra en prescripciones.</w:t>
            </w:r>
          </w:p>
        </w:tc>
      </w:tr>
      <w:tr w:rsidR="004A02F1" w14:paraId="26E8856A" w14:textId="77777777" w:rsidTr="00381867">
        <w:tc>
          <w:tcPr>
            <w:cnfStyle w:val="001000000000" w:firstRow="0" w:lastRow="0" w:firstColumn="1" w:lastColumn="0" w:oddVBand="0" w:evenVBand="0" w:oddHBand="0" w:evenHBand="0" w:firstRowFirstColumn="0" w:firstRowLastColumn="0" w:lastRowFirstColumn="0" w:lastRowLastColumn="0"/>
            <w:tcW w:w="2830" w:type="dxa"/>
            <w:shd w:val="clear" w:color="auto" w:fill="002060"/>
          </w:tcPr>
          <w:p w14:paraId="39B00F3C" w14:textId="77777777" w:rsidR="004A02F1" w:rsidRPr="002060AF" w:rsidRDefault="004A02F1" w:rsidP="002060AF">
            <w:pPr>
              <w:rPr>
                <w:rFonts w:ascii="IBM Plex Sans" w:hAnsi="IBM Plex Sans" w:cs="Arial"/>
                <w:sz w:val="20"/>
                <w:szCs w:val="20"/>
              </w:rPr>
            </w:pPr>
            <w:r w:rsidRPr="002060AF">
              <w:rPr>
                <w:rFonts w:ascii="IBM Plex Sans" w:hAnsi="IBM Plex Sans" w:cs="Arial"/>
                <w:sz w:val="20"/>
                <w:szCs w:val="20"/>
              </w:rPr>
              <w:lastRenderedPageBreak/>
              <w:t>Seguridad pública</w:t>
            </w:r>
          </w:p>
        </w:tc>
        <w:tc>
          <w:tcPr>
            <w:tcW w:w="5998" w:type="dxa"/>
          </w:tcPr>
          <w:p w14:paraId="32454804" w14:textId="1F74CF2E" w:rsidR="004A02F1" w:rsidRPr="002060AF" w:rsidRDefault="004A02F1" w:rsidP="002060AF">
            <w:pPr>
              <w:jc w:val="both"/>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2060AF">
              <w:rPr>
                <w:rFonts w:ascii="IBM Plex Sans" w:hAnsi="IBM Plex Sans" w:cs="Arial"/>
                <w:sz w:val="20"/>
                <w:szCs w:val="20"/>
              </w:rPr>
              <w:t xml:space="preserve">Refiere a las medidas </w:t>
            </w:r>
            <w:r w:rsidR="001850B1" w:rsidRPr="002060AF">
              <w:rPr>
                <w:rFonts w:ascii="IBM Plex Sans" w:hAnsi="IBM Plex Sans" w:cs="Arial"/>
                <w:sz w:val="20"/>
                <w:szCs w:val="20"/>
              </w:rPr>
              <w:t xml:space="preserve">aprobadas </w:t>
            </w:r>
            <w:r w:rsidRPr="002060AF">
              <w:rPr>
                <w:rFonts w:ascii="IBM Plex Sans" w:hAnsi="IBM Plex Sans" w:cs="Arial"/>
                <w:sz w:val="20"/>
                <w:szCs w:val="20"/>
              </w:rPr>
              <w:t xml:space="preserve">por el Estado costarricense </w:t>
            </w:r>
            <w:r w:rsidR="00040775" w:rsidRPr="002060AF">
              <w:rPr>
                <w:rFonts w:ascii="IBM Plex Sans" w:hAnsi="IBM Plex Sans" w:cs="Arial"/>
                <w:sz w:val="20"/>
                <w:szCs w:val="20"/>
              </w:rPr>
              <w:t xml:space="preserve">sobre materias </w:t>
            </w:r>
            <w:r w:rsidRPr="002060AF">
              <w:rPr>
                <w:rFonts w:ascii="IBM Plex Sans" w:hAnsi="IBM Plex Sans" w:cs="Arial"/>
                <w:sz w:val="20"/>
                <w:szCs w:val="20"/>
              </w:rPr>
              <w:t>de seguridad pública</w:t>
            </w:r>
            <w:r w:rsidR="00040775" w:rsidRPr="002060AF">
              <w:rPr>
                <w:rFonts w:ascii="IBM Plex Sans" w:hAnsi="IBM Plex Sans" w:cs="Arial"/>
                <w:sz w:val="20"/>
                <w:szCs w:val="20"/>
              </w:rPr>
              <w:t xml:space="preserve"> con efectos sobre las personas, las empresas y las comunidades</w:t>
            </w:r>
            <w:r w:rsidRPr="002060AF">
              <w:rPr>
                <w:rFonts w:ascii="IBM Plex Sans" w:hAnsi="IBM Plex Sans" w:cs="Arial"/>
                <w:sz w:val="20"/>
                <w:szCs w:val="20"/>
              </w:rPr>
              <w:t>. Por ejemplo:</w:t>
            </w:r>
            <w:r w:rsidR="00040775" w:rsidRPr="002060AF">
              <w:rPr>
                <w:rFonts w:ascii="IBM Plex Sans" w:hAnsi="IBM Plex Sans" w:cs="Arial"/>
                <w:sz w:val="20"/>
                <w:szCs w:val="20"/>
              </w:rPr>
              <w:t xml:space="preserve"> el Ministro de Seguridad Pública, Michael Soto, anunció la implementación de mega operativos en todo el territorio nacional para velar por el cumplimiento de las medidas </w:t>
            </w:r>
            <w:r w:rsidR="00BF17A8" w:rsidRPr="002060AF">
              <w:rPr>
                <w:rFonts w:ascii="IBM Plex Sans" w:hAnsi="IBM Plex Sans" w:cs="Arial"/>
                <w:sz w:val="20"/>
                <w:szCs w:val="20"/>
              </w:rPr>
              <w:t>sobre</w:t>
            </w:r>
            <w:r w:rsidR="00040775" w:rsidRPr="002060AF">
              <w:rPr>
                <w:rFonts w:ascii="IBM Plex Sans" w:hAnsi="IBM Plex Sans" w:cs="Arial"/>
                <w:sz w:val="20"/>
                <w:szCs w:val="20"/>
              </w:rPr>
              <w:t xml:space="preserve"> restricción de ingreso en puestos fronterizos y </w:t>
            </w:r>
            <w:r w:rsidR="00BF17A8" w:rsidRPr="002060AF">
              <w:rPr>
                <w:rFonts w:ascii="IBM Plex Sans" w:hAnsi="IBM Plex Sans" w:cs="Arial"/>
                <w:sz w:val="20"/>
                <w:szCs w:val="20"/>
              </w:rPr>
              <w:t xml:space="preserve">sobre </w:t>
            </w:r>
            <w:r w:rsidR="00040775" w:rsidRPr="002060AF">
              <w:rPr>
                <w:rFonts w:ascii="IBM Plex Sans" w:hAnsi="IBM Plex Sans" w:cs="Arial"/>
                <w:sz w:val="20"/>
                <w:szCs w:val="20"/>
              </w:rPr>
              <w:t>otras acciones para evitar el aglomeramiento de personas</w:t>
            </w:r>
            <w:r w:rsidRPr="002060AF">
              <w:rPr>
                <w:rFonts w:ascii="IBM Plex Sans" w:hAnsi="IBM Plex Sans" w:cs="Arial"/>
                <w:sz w:val="20"/>
                <w:szCs w:val="20"/>
              </w:rPr>
              <w:t>.</w:t>
            </w:r>
          </w:p>
        </w:tc>
      </w:tr>
      <w:tr w:rsidR="004A02F1" w14:paraId="11D060DC" w14:textId="77777777" w:rsidTr="00381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002060"/>
          </w:tcPr>
          <w:p w14:paraId="415303AE" w14:textId="77777777" w:rsidR="004A02F1" w:rsidRPr="002060AF" w:rsidRDefault="004A02F1" w:rsidP="002060AF">
            <w:pPr>
              <w:rPr>
                <w:rFonts w:ascii="IBM Plex Sans" w:hAnsi="IBM Plex Sans" w:cs="Arial"/>
                <w:sz w:val="20"/>
                <w:szCs w:val="20"/>
              </w:rPr>
            </w:pPr>
            <w:r w:rsidRPr="002060AF">
              <w:rPr>
                <w:rFonts w:ascii="IBM Plex Sans" w:hAnsi="IBM Plex Sans" w:cs="Arial"/>
                <w:sz w:val="20"/>
                <w:szCs w:val="20"/>
              </w:rPr>
              <w:t>Servicios</w:t>
            </w:r>
          </w:p>
        </w:tc>
        <w:tc>
          <w:tcPr>
            <w:tcW w:w="5998" w:type="dxa"/>
          </w:tcPr>
          <w:p w14:paraId="28C111B0" w14:textId="7F8FD1BE" w:rsidR="004A02F1" w:rsidRPr="002060AF" w:rsidRDefault="004A02F1" w:rsidP="002060AF">
            <w:pPr>
              <w:jc w:val="both"/>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2060AF">
              <w:rPr>
                <w:rFonts w:ascii="IBM Plex Sans" w:hAnsi="IBM Plex Sans" w:cs="Arial"/>
                <w:sz w:val="20"/>
                <w:szCs w:val="20"/>
              </w:rPr>
              <w:t xml:space="preserve">Refiere a las medidas </w:t>
            </w:r>
            <w:r w:rsidR="001850B1" w:rsidRPr="002060AF">
              <w:rPr>
                <w:rFonts w:ascii="IBM Plex Sans" w:hAnsi="IBM Plex Sans" w:cs="Arial"/>
                <w:sz w:val="20"/>
                <w:szCs w:val="20"/>
              </w:rPr>
              <w:t xml:space="preserve">aprobadas </w:t>
            </w:r>
            <w:r w:rsidRPr="002060AF">
              <w:rPr>
                <w:rFonts w:ascii="IBM Plex Sans" w:hAnsi="IBM Plex Sans" w:cs="Arial"/>
                <w:sz w:val="20"/>
                <w:szCs w:val="20"/>
              </w:rPr>
              <w:t xml:space="preserve">por el Estado costarricense </w:t>
            </w:r>
            <w:r w:rsidR="00040775" w:rsidRPr="002060AF">
              <w:rPr>
                <w:rFonts w:ascii="IBM Plex Sans" w:hAnsi="IBM Plex Sans" w:cs="Arial"/>
                <w:sz w:val="20"/>
                <w:szCs w:val="20"/>
              </w:rPr>
              <w:t>con efectos sobre las personas y las empresas del sector servicios</w:t>
            </w:r>
            <w:r w:rsidRPr="002060AF">
              <w:rPr>
                <w:rFonts w:ascii="IBM Plex Sans" w:hAnsi="IBM Plex Sans" w:cs="Arial"/>
                <w:sz w:val="20"/>
                <w:szCs w:val="20"/>
              </w:rPr>
              <w:t>. Por ejemplo: se permitirá la apertura de hoteles de máximo 20 habitaciones con un 50% de su capacidad y</w:t>
            </w:r>
            <w:r w:rsidR="0016164B" w:rsidRPr="002060AF">
              <w:rPr>
                <w:rFonts w:ascii="IBM Plex Sans" w:hAnsi="IBM Plex Sans" w:cs="Arial"/>
                <w:sz w:val="20"/>
                <w:szCs w:val="20"/>
              </w:rPr>
              <w:t xml:space="preserve"> la</w:t>
            </w:r>
            <w:r w:rsidRPr="002060AF">
              <w:rPr>
                <w:rFonts w:ascii="IBM Plex Sans" w:hAnsi="IBM Plex Sans" w:cs="Arial"/>
                <w:sz w:val="20"/>
                <w:szCs w:val="20"/>
              </w:rPr>
              <w:t xml:space="preserve"> apertura de moteles.</w:t>
            </w:r>
          </w:p>
        </w:tc>
      </w:tr>
      <w:tr w:rsidR="004A02F1" w14:paraId="0502F579" w14:textId="77777777" w:rsidTr="00381867">
        <w:tc>
          <w:tcPr>
            <w:cnfStyle w:val="001000000000" w:firstRow="0" w:lastRow="0" w:firstColumn="1" w:lastColumn="0" w:oddVBand="0" w:evenVBand="0" w:oddHBand="0" w:evenHBand="0" w:firstRowFirstColumn="0" w:firstRowLastColumn="0" w:lastRowFirstColumn="0" w:lastRowLastColumn="0"/>
            <w:tcW w:w="2830" w:type="dxa"/>
            <w:shd w:val="clear" w:color="auto" w:fill="002060"/>
          </w:tcPr>
          <w:p w14:paraId="02209C30" w14:textId="77777777" w:rsidR="004A02F1" w:rsidRPr="002060AF" w:rsidRDefault="004A02F1" w:rsidP="002060AF">
            <w:pPr>
              <w:rPr>
                <w:rFonts w:ascii="IBM Plex Sans" w:hAnsi="IBM Plex Sans" w:cs="Arial"/>
                <w:sz w:val="20"/>
                <w:szCs w:val="20"/>
              </w:rPr>
            </w:pPr>
            <w:r w:rsidRPr="002060AF">
              <w:rPr>
                <w:rFonts w:ascii="IBM Plex Sans" w:hAnsi="IBM Plex Sans" w:cs="Arial"/>
                <w:sz w:val="20"/>
                <w:szCs w:val="20"/>
              </w:rPr>
              <w:t>Servicios públicos</w:t>
            </w:r>
          </w:p>
        </w:tc>
        <w:tc>
          <w:tcPr>
            <w:tcW w:w="5998" w:type="dxa"/>
          </w:tcPr>
          <w:p w14:paraId="38147CC2" w14:textId="0DF66D34" w:rsidR="004A02F1" w:rsidRPr="002060AF" w:rsidRDefault="004A02F1" w:rsidP="002060AF">
            <w:pPr>
              <w:jc w:val="both"/>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2060AF">
              <w:rPr>
                <w:rFonts w:ascii="IBM Plex Sans" w:hAnsi="IBM Plex Sans" w:cs="Arial"/>
                <w:sz w:val="20"/>
                <w:szCs w:val="20"/>
              </w:rPr>
              <w:t xml:space="preserve">Refiere a las medidas </w:t>
            </w:r>
            <w:r w:rsidR="001850B1" w:rsidRPr="002060AF">
              <w:rPr>
                <w:rFonts w:ascii="IBM Plex Sans" w:hAnsi="IBM Plex Sans" w:cs="Arial"/>
                <w:sz w:val="20"/>
                <w:szCs w:val="20"/>
              </w:rPr>
              <w:t xml:space="preserve">aprobadas </w:t>
            </w:r>
            <w:r w:rsidRPr="002060AF">
              <w:rPr>
                <w:rFonts w:ascii="IBM Plex Sans" w:hAnsi="IBM Plex Sans" w:cs="Arial"/>
                <w:sz w:val="20"/>
                <w:szCs w:val="20"/>
              </w:rPr>
              <w:t>por el Estado costarricense sobre la provisión de servicios públicos (agua, luz,</w:t>
            </w:r>
            <w:r w:rsidR="00BF17A8" w:rsidRPr="002060AF">
              <w:rPr>
                <w:rFonts w:ascii="IBM Plex Sans" w:hAnsi="IBM Plex Sans" w:cs="Arial"/>
                <w:sz w:val="20"/>
                <w:szCs w:val="20"/>
              </w:rPr>
              <w:t xml:space="preserve"> transporte público,</w:t>
            </w:r>
            <w:r w:rsidRPr="002060AF">
              <w:rPr>
                <w:rFonts w:ascii="IBM Plex Sans" w:hAnsi="IBM Plex Sans" w:cs="Arial"/>
                <w:sz w:val="20"/>
                <w:szCs w:val="20"/>
              </w:rPr>
              <w:t xml:space="preserve"> entre otros)</w:t>
            </w:r>
            <w:r w:rsidR="00BF17A8" w:rsidRPr="002060AF">
              <w:rPr>
                <w:rFonts w:ascii="IBM Plex Sans" w:hAnsi="IBM Plex Sans" w:cs="Arial"/>
                <w:sz w:val="20"/>
                <w:szCs w:val="20"/>
              </w:rPr>
              <w:t xml:space="preserve"> con efectos sobre las personas y las empresas</w:t>
            </w:r>
            <w:r w:rsidRPr="002060AF">
              <w:rPr>
                <w:rFonts w:ascii="IBM Plex Sans" w:hAnsi="IBM Plex Sans" w:cs="Arial"/>
                <w:sz w:val="20"/>
                <w:szCs w:val="20"/>
              </w:rPr>
              <w:t>. Por ejemplo: a partir del 20 de marzo del año en curso y hasta nuevo aviso, no se suspenderán servicios de agua por morosidad.</w:t>
            </w:r>
          </w:p>
        </w:tc>
      </w:tr>
      <w:tr w:rsidR="004A02F1" w14:paraId="791B71E8" w14:textId="77777777" w:rsidTr="00381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002060"/>
          </w:tcPr>
          <w:p w14:paraId="5D8FE903" w14:textId="77777777" w:rsidR="004A02F1" w:rsidRPr="002060AF" w:rsidRDefault="004A02F1" w:rsidP="002060AF">
            <w:pPr>
              <w:rPr>
                <w:rFonts w:ascii="IBM Plex Sans" w:hAnsi="IBM Plex Sans" w:cs="Arial"/>
                <w:sz w:val="20"/>
                <w:szCs w:val="20"/>
              </w:rPr>
            </w:pPr>
            <w:r w:rsidRPr="002060AF">
              <w:rPr>
                <w:rFonts w:ascii="IBM Plex Sans" w:hAnsi="IBM Plex Sans" w:cs="Arial"/>
                <w:sz w:val="20"/>
                <w:szCs w:val="20"/>
              </w:rPr>
              <w:t>Trabajo y empleo</w:t>
            </w:r>
          </w:p>
        </w:tc>
        <w:tc>
          <w:tcPr>
            <w:tcW w:w="5998" w:type="dxa"/>
          </w:tcPr>
          <w:p w14:paraId="74EB11EC" w14:textId="5BCE6DE0" w:rsidR="004A02F1" w:rsidRPr="002060AF" w:rsidRDefault="004A02F1" w:rsidP="002060AF">
            <w:pPr>
              <w:jc w:val="both"/>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2060AF">
              <w:rPr>
                <w:rFonts w:ascii="IBM Plex Sans" w:hAnsi="IBM Plex Sans" w:cs="Arial"/>
                <w:sz w:val="20"/>
                <w:szCs w:val="20"/>
              </w:rPr>
              <w:t xml:space="preserve">Refiere a las medidas </w:t>
            </w:r>
            <w:r w:rsidR="001850B1" w:rsidRPr="002060AF">
              <w:rPr>
                <w:rFonts w:ascii="IBM Plex Sans" w:hAnsi="IBM Plex Sans" w:cs="Arial"/>
                <w:sz w:val="20"/>
                <w:szCs w:val="20"/>
              </w:rPr>
              <w:t xml:space="preserve">aprobadas </w:t>
            </w:r>
            <w:r w:rsidRPr="002060AF">
              <w:rPr>
                <w:rFonts w:ascii="IBM Plex Sans" w:hAnsi="IBM Plex Sans" w:cs="Arial"/>
                <w:sz w:val="20"/>
                <w:szCs w:val="20"/>
              </w:rPr>
              <w:t xml:space="preserve">por el Estado costarricense </w:t>
            </w:r>
            <w:r w:rsidR="00BF17A8" w:rsidRPr="002060AF">
              <w:rPr>
                <w:rFonts w:ascii="IBM Plex Sans" w:hAnsi="IBM Plex Sans" w:cs="Arial"/>
                <w:sz w:val="20"/>
                <w:szCs w:val="20"/>
              </w:rPr>
              <w:t xml:space="preserve">sobre materias de </w:t>
            </w:r>
            <w:r w:rsidRPr="002060AF">
              <w:rPr>
                <w:rFonts w:ascii="IBM Plex Sans" w:hAnsi="IBM Plex Sans" w:cs="Arial"/>
                <w:sz w:val="20"/>
                <w:szCs w:val="20"/>
              </w:rPr>
              <w:t>trabajo y empleo</w:t>
            </w:r>
            <w:r w:rsidR="00BF17A8" w:rsidRPr="002060AF">
              <w:rPr>
                <w:rFonts w:ascii="IBM Plex Sans" w:hAnsi="IBM Plex Sans" w:cs="Arial"/>
                <w:sz w:val="20"/>
                <w:szCs w:val="20"/>
              </w:rPr>
              <w:t xml:space="preserve"> con efectos sobre las personas y las empresas</w:t>
            </w:r>
            <w:r w:rsidRPr="002060AF">
              <w:rPr>
                <w:rFonts w:ascii="IBM Plex Sans" w:hAnsi="IBM Plex Sans" w:cs="Arial"/>
                <w:sz w:val="20"/>
                <w:szCs w:val="20"/>
              </w:rPr>
              <w:t>. Por ejemplo: autorizar la reducción temporal de las jornadas de trabajo pactadas entre las partes, lo que permitirá preservar el empleo de las personas trabajadoras</w:t>
            </w:r>
            <w:r w:rsidR="0016164B" w:rsidRPr="002060AF">
              <w:rPr>
                <w:rFonts w:ascii="IBM Plex Sans" w:hAnsi="IBM Plex Sans" w:cs="Arial"/>
                <w:sz w:val="20"/>
                <w:szCs w:val="20"/>
              </w:rPr>
              <w:t>;</w:t>
            </w:r>
            <w:r w:rsidRPr="002060AF">
              <w:rPr>
                <w:rFonts w:ascii="IBM Plex Sans" w:hAnsi="IBM Plex Sans" w:cs="Arial"/>
                <w:sz w:val="20"/>
                <w:szCs w:val="20"/>
              </w:rPr>
              <w:t xml:space="preserve"> cuando los ingresos brutos de las empresas se vean afectados debido a una declaratoria de emergencia nacional, todo de conformidad con la Ley 8488, Ley Nacional de Emergencias y Prevención del Riesgo, de 22 de noviembre de 2005. </w:t>
            </w:r>
            <w:r w:rsidR="00F271CB" w:rsidRPr="002060AF">
              <w:rPr>
                <w:rFonts w:ascii="IBM Plex Sans" w:hAnsi="IBM Plex Sans" w:cs="Arial"/>
                <w:sz w:val="20"/>
                <w:szCs w:val="20"/>
              </w:rPr>
              <w:t xml:space="preserve">Esta ley se aplicará </w:t>
            </w:r>
            <w:r w:rsidRPr="002060AF">
              <w:rPr>
                <w:rFonts w:ascii="IBM Plex Sans" w:hAnsi="IBM Plex Sans" w:cs="Arial"/>
                <w:sz w:val="20"/>
                <w:szCs w:val="20"/>
              </w:rPr>
              <w:t>para todas las relaciones de empleo privado que se rigen por la Ley 2, Código de Trabajo, de 27 de agosto de 1943, bajo el principio de excepcionalidad.</w:t>
            </w:r>
          </w:p>
        </w:tc>
      </w:tr>
      <w:tr w:rsidR="004A02F1" w14:paraId="1CCB1854" w14:textId="77777777" w:rsidTr="00381867">
        <w:tc>
          <w:tcPr>
            <w:cnfStyle w:val="001000000000" w:firstRow="0" w:lastRow="0" w:firstColumn="1" w:lastColumn="0" w:oddVBand="0" w:evenVBand="0" w:oddHBand="0" w:evenHBand="0" w:firstRowFirstColumn="0" w:firstRowLastColumn="0" w:lastRowFirstColumn="0" w:lastRowLastColumn="0"/>
            <w:tcW w:w="2830" w:type="dxa"/>
            <w:shd w:val="clear" w:color="auto" w:fill="002060"/>
          </w:tcPr>
          <w:p w14:paraId="2CEDD621" w14:textId="77777777" w:rsidR="004A02F1" w:rsidRPr="002060AF" w:rsidRDefault="004A02F1" w:rsidP="002060AF">
            <w:pPr>
              <w:rPr>
                <w:rFonts w:ascii="IBM Plex Sans" w:hAnsi="IBM Plex Sans" w:cs="Arial"/>
                <w:sz w:val="20"/>
                <w:szCs w:val="20"/>
              </w:rPr>
            </w:pPr>
            <w:r w:rsidRPr="002060AF">
              <w:rPr>
                <w:rFonts w:ascii="IBM Plex Sans" w:hAnsi="IBM Plex Sans" w:cs="Arial"/>
                <w:sz w:val="20"/>
                <w:szCs w:val="20"/>
              </w:rPr>
              <w:t>NI</w:t>
            </w:r>
          </w:p>
        </w:tc>
        <w:tc>
          <w:tcPr>
            <w:tcW w:w="5998" w:type="dxa"/>
          </w:tcPr>
          <w:p w14:paraId="3B3C8BC7" w14:textId="77777777" w:rsidR="004A02F1" w:rsidRPr="002060AF" w:rsidRDefault="004A02F1" w:rsidP="002060AF">
            <w:pPr>
              <w:jc w:val="both"/>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2060AF">
              <w:rPr>
                <w:rFonts w:ascii="IBM Plex Sans" w:hAnsi="IBM Plex Sans" w:cs="Arial"/>
                <w:sz w:val="20"/>
                <w:szCs w:val="20"/>
              </w:rPr>
              <w:t>Cuando el documento no indica explícitamente el tipo de sector.</w:t>
            </w:r>
          </w:p>
        </w:tc>
      </w:tr>
    </w:tbl>
    <w:p w14:paraId="3671097C" w14:textId="77777777" w:rsidR="004A02F1" w:rsidRPr="002060AF" w:rsidRDefault="004A02F1" w:rsidP="002060AF">
      <w:pPr>
        <w:spacing w:line="240" w:lineRule="auto"/>
        <w:jc w:val="both"/>
        <w:rPr>
          <w:rFonts w:ascii="IBM Plex Sans Light" w:hAnsi="IBM Plex Sans Light" w:cs="Arial"/>
          <w:sz w:val="18"/>
          <w:szCs w:val="18"/>
        </w:rPr>
      </w:pPr>
      <w:r w:rsidRPr="002060AF">
        <w:rPr>
          <w:rFonts w:ascii="IBM Plex Sans Light" w:hAnsi="IBM Plex Sans Light" w:cs="Arial"/>
          <w:sz w:val="18"/>
          <w:szCs w:val="18"/>
        </w:rPr>
        <w:t>Fuente: Elaboración propia.</w:t>
      </w:r>
    </w:p>
    <w:p w14:paraId="2985B204" w14:textId="77777777" w:rsidR="004A02F1" w:rsidRPr="00AA4C3F" w:rsidRDefault="004A02F1" w:rsidP="00AA4C3F">
      <w:pPr>
        <w:spacing w:line="240" w:lineRule="auto"/>
        <w:jc w:val="both"/>
        <w:rPr>
          <w:rFonts w:ascii="IBM Plex Sans" w:hAnsi="IBM Plex Sans" w:cs="Arial"/>
        </w:rPr>
      </w:pPr>
    </w:p>
    <w:p w14:paraId="1095D169" w14:textId="77777777" w:rsidR="00AA4C3F" w:rsidRPr="00AA4C3F" w:rsidRDefault="00591399" w:rsidP="00AA4C3F">
      <w:pPr>
        <w:pStyle w:val="Ttulo2"/>
        <w:rPr>
          <w:rFonts w:ascii="IBM Plex Sans" w:hAnsi="IBM Plex Sans"/>
        </w:rPr>
      </w:pPr>
      <w:bookmarkStart w:id="19" w:name="_Toc86615289"/>
      <w:r w:rsidRPr="00AA4C3F">
        <w:rPr>
          <w:rFonts w:ascii="IBM Plex Sans" w:hAnsi="IBM Plex Sans"/>
        </w:rPr>
        <w:t>12</w:t>
      </w:r>
      <w:r w:rsidR="00F31841" w:rsidRPr="00AA4C3F">
        <w:rPr>
          <w:rFonts w:ascii="IBM Plex Sans" w:hAnsi="IBM Plex Sans"/>
        </w:rPr>
        <w:t>. Alcance geográfico (alcance)</w:t>
      </w:r>
      <w:bookmarkEnd w:id="19"/>
    </w:p>
    <w:p w14:paraId="6B7E6A9C" w14:textId="733D453B" w:rsidR="00F31841" w:rsidRPr="00AA4C3F" w:rsidRDefault="00F31841" w:rsidP="00AA4C3F">
      <w:pPr>
        <w:spacing w:line="240" w:lineRule="auto"/>
        <w:jc w:val="both"/>
        <w:rPr>
          <w:rFonts w:ascii="IBM Plex Sans" w:hAnsi="IBM Plex Sans" w:cs="Arial"/>
        </w:rPr>
      </w:pPr>
      <w:r w:rsidRPr="00AA4C3F">
        <w:rPr>
          <w:rFonts w:ascii="IBM Plex Sans" w:hAnsi="IBM Plex Sans" w:cs="Arial"/>
        </w:rPr>
        <w:t>Esta variable señala el alcance territorial de la medida</w:t>
      </w:r>
      <w:r w:rsidR="009D77C2" w:rsidRPr="00AA4C3F">
        <w:rPr>
          <w:rFonts w:ascii="IBM Plex Sans" w:hAnsi="IBM Plex Sans" w:cs="Arial"/>
        </w:rPr>
        <w:t>. Es importante aclarar que el investigador o la investigadora debe registrar en la base de datos</w:t>
      </w:r>
      <w:r w:rsidR="00F717FC" w:rsidRPr="00AA4C3F">
        <w:rPr>
          <w:rFonts w:ascii="IBM Plex Sans" w:hAnsi="IBM Plex Sans" w:cs="Arial"/>
        </w:rPr>
        <w:t>,</w:t>
      </w:r>
      <w:r w:rsidR="009D77C2" w:rsidRPr="00AA4C3F">
        <w:rPr>
          <w:rFonts w:ascii="IBM Plex Sans" w:hAnsi="IBM Plex Sans" w:cs="Arial"/>
        </w:rPr>
        <w:t xml:space="preserve"> </w:t>
      </w:r>
      <w:r w:rsidR="00EE7D06" w:rsidRPr="00AA4C3F">
        <w:rPr>
          <w:rFonts w:ascii="IBM Plex Sans" w:hAnsi="IBM Plex Sans" w:cs="Arial"/>
        </w:rPr>
        <w:t xml:space="preserve">el código numérico </w:t>
      </w:r>
      <w:r w:rsidR="009D77C2" w:rsidRPr="00AA4C3F">
        <w:rPr>
          <w:rFonts w:ascii="IBM Plex Sans" w:hAnsi="IBM Plex Sans" w:cs="Arial"/>
        </w:rPr>
        <w:t>que aparece en la columna izquierda (de color azul</w:t>
      </w:r>
      <w:r w:rsidR="007A2603" w:rsidRPr="00AA4C3F">
        <w:rPr>
          <w:rFonts w:ascii="IBM Plex Sans" w:hAnsi="IBM Plex Sans" w:cs="Arial"/>
        </w:rPr>
        <w:t xml:space="preserve"> os</w:t>
      </w:r>
      <w:r w:rsidR="00E411F0" w:rsidRPr="00AA4C3F">
        <w:rPr>
          <w:rFonts w:ascii="IBM Plex Sans" w:hAnsi="IBM Plex Sans" w:cs="Arial"/>
        </w:rPr>
        <w:t>c</w:t>
      </w:r>
      <w:r w:rsidR="007A2603" w:rsidRPr="00AA4C3F">
        <w:rPr>
          <w:rFonts w:ascii="IBM Plex Sans" w:hAnsi="IBM Plex Sans" w:cs="Arial"/>
        </w:rPr>
        <w:t>uro</w:t>
      </w:r>
      <w:r w:rsidR="009D77C2" w:rsidRPr="00AA4C3F">
        <w:rPr>
          <w:rFonts w:ascii="IBM Plex Sans" w:hAnsi="IBM Plex Sans" w:cs="Arial"/>
        </w:rPr>
        <w:t xml:space="preserve">) del cuadro </w:t>
      </w:r>
      <w:r w:rsidR="00922773" w:rsidRPr="00AA4C3F">
        <w:rPr>
          <w:rFonts w:ascii="IBM Plex Sans" w:hAnsi="IBM Plex Sans" w:cs="Arial"/>
        </w:rPr>
        <w:t>6</w:t>
      </w:r>
      <w:r w:rsidR="009D77C2" w:rsidRPr="00AA4C3F">
        <w:rPr>
          <w:rFonts w:ascii="IBM Plex Sans" w:hAnsi="IBM Plex Sans" w:cs="Arial"/>
        </w:rPr>
        <w:t>.</w:t>
      </w:r>
    </w:p>
    <w:p w14:paraId="2D57D9F7" w14:textId="69B772EF" w:rsidR="009D77C2" w:rsidRPr="00666EA4" w:rsidRDefault="009D77C2" w:rsidP="00666EA4">
      <w:pPr>
        <w:spacing w:after="0" w:line="360" w:lineRule="auto"/>
        <w:jc w:val="both"/>
        <w:rPr>
          <w:rFonts w:ascii="IBM Plex Sans Light" w:hAnsi="IBM Plex Sans Light" w:cs="Arial"/>
          <w:b/>
          <w:bCs/>
        </w:rPr>
      </w:pPr>
      <w:r w:rsidRPr="00666EA4">
        <w:rPr>
          <w:rFonts w:ascii="IBM Plex Sans Light" w:hAnsi="IBM Plex Sans Light" w:cs="Arial"/>
          <w:b/>
          <w:bCs/>
        </w:rPr>
        <w:t xml:space="preserve">Cuadro </w:t>
      </w:r>
      <w:r w:rsidR="00922773" w:rsidRPr="00666EA4">
        <w:rPr>
          <w:rFonts w:ascii="IBM Plex Sans Light" w:hAnsi="IBM Plex Sans Light" w:cs="Arial"/>
          <w:b/>
          <w:bCs/>
        </w:rPr>
        <w:t>6</w:t>
      </w:r>
      <w:r w:rsidRPr="00666EA4">
        <w:rPr>
          <w:rFonts w:ascii="IBM Plex Sans Light" w:hAnsi="IBM Plex Sans Light" w:cs="Arial"/>
          <w:b/>
          <w:bCs/>
        </w:rPr>
        <w:t>. Alcance geográfico.</w:t>
      </w:r>
    </w:p>
    <w:tbl>
      <w:tblPr>
        <w:tblStyle w:val="Tablaconcuadrcula5oscura-nfasis1"/>
        <w:tblW w:w="0" w:type="auto"/>
        <w:tblLook w:val="04A0" w:firstRow="1" w:lastRow="0" w:firstColumn="1" w:lastColumn="0" w:noHBand="0" w:noVBand="1"/>
      </w:tblPr>
      <w:tblGrid>
        <w:gridCol w:w="1413"/>
        <w:gridCol w:w="1984"/>
        <w:gridCol w:w="5097"/>
      </w:tblGrid>
      <w:tr w:rsidR="00EE7D06" w14:paraId="7F961788" w14:textId="77777777" w:rsidTr="00EE7D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002060"/>
            <w:vAlign w:val="center"/>
          </w:tcPr>
          <w:p w14:paraId="52657292" w14:textId="1C24DC3D" w:rsidR="00EE7D06" w:rsidRPr="00666EA4" w:rsidRDefault="00EE7D06" w:rsidP="00666EA4">
            <w:pPr>
              <w:rPr>
                <w:rFonts w:ascii="IBM Plex Sans" w:hAnsi="IBM Plex Sans" w:cs="Arial"/>
                <w:sz w:val="20"/>
                <w:szCs w:val="20"/>
              </w:rPr>
            </w:pPr>
            <w:r w:rsidRPr="00666EA4">
              <w:rPr>
                <w:rFonts w:ascii="IBM Plex Sans" w:hAnsi="IBM Plex Sans" w:cs="Arial"/>
                <w:sz w:val="20"/>
                <w:szCs w:val="20"/>
              </w:rPr>
              <w:t>Código numérico</w:t>
            </w:r>
          </w:p>
        </w:tc>
        <w:tc>
          <w:tcPr>
            <w:tcW w:w="1984" w:type="dxa"/>
            <w:shd w:val="clear" w:color="auto" w:fill="002060"/>
            <w:vAlign w:val="center"/>
          </w:tcPr>
          <w:p w14:paraId="18E929AD" w14:textId="521C9D6E" w:rsidR="00EE7D06" w:rsidRPr="00666EA4" w:rsidRDefault="00EE7D06" w:rsidP="00666EA4">
            <w:pPr>
              <w:cnfStyle w:val="100000000000" w:firstRow="1" w:lastRow="0" w:firstColumn="0" w:lastColumn="0" w:oddVBand="0" w:evenVBand="0" w:oddHBand="0" w:evenHBand="0" w:firstRowFirstColumn="0" w:firstRowLastColumn="0" w:lastRowFirstColumn="0" w:lastRowLastColumn="0"/>
              <w:rPr>
                <w:rFonts w:ascii="IBM Plex Sans" w:hAnsi="IBM Plex Sans" w:cs="Arial"/>
                <w:sz w:val="20"/>
                <w:szCs w:val="20"/>
              </w:rPr>
            </w:pPr>
            <w:r w:rsidRPr="00666EA4">
              <w:rPr>
                <w:rFonts w:ascii="IBM Plex Sans" w:hAnsi="IBM Plex Sans" w:cs="Arial"/>
                <w:sz w:val="20"/>
                <w:szCs w:val="20"/>
              </w:rPr>
              <w:t>Alcance</w:t>
            </w:r>
          </w:p>
        </w:tc>
        <w:tc>
          <w:tcPr>
            <w:tcW w:w="5097" w:type="dxa"/>
            <w:shd w:val="clear" w:color="auto" w:fill="002060"/>
            <w:vAlign w:val="center"/>
          </w:tcPr>
          <w:p w14:paraId="43F09522" w14:textId="65AAA2DA" w:rsidR="00EE7D06" w:rsidRPr="00666EA4" w:rsidRDefault="00EE7D06" w:rsidP="00666EA4">
            <w:pPr>
              <w:cnfStyle w:val="100000000000" w:firstRow="1" w:lastRow="0" w:firstColumn="0" w:lastColumn="0" w:oddVBand="0" w:evenVBand="0" w:oddHBand="0" w:evenHBand="0" w:firstRowFirstColumn="0" w:firstRowLastColumn="0" w:lastRowFirstColumn="0" w:lastRowLastColumn="0"/>
              <w:rPr>
                <w:rFonts w:ascii="IBM Plex Sans" w:hAnsi="IBM Plex Sans" w:cs="Arial"/>
                <w:sz w:val="20"/>
                <w:szCs w:val="20"/>
              </w:rPr>
            </w:pPr>
            <w:r w:rsidRPr="00666EA4">
              <w:rPr>
                <w:rFonts w:ascii="IBM Plex Sans" w:hAnsi="IBM Plex Sans" w:cs="Arial"/>
                <w:sz w:val="20"/>
                <w:szCs w:val="20"/>
              </w:rPr>
              <w:t>Definición del alcance</w:t>
            </w:r>
          </w:p>
        </w:tc>
      </w:tr>
      <w:tr w:rsidR="00EE7D06" w14:paraId="42A37C1B" w14:textId="77777777" w:rsidTr="00EE7D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002060"/>
          </w:tcPr>
          <w:p w14:paraId="3C11C8F9" w14:textId="5E3682C6" w:rsidR="00EE7D06" w:rsidRPr="00666EA4" w:rsidRDefault="00EE7D06" w:rsidP="00666EA4">
            <w:pPr>
              <w:rPr>
                <w:rFonts w:ascii="IBM Plex Sans" w:hAnsi="IBM Plex Sans" w:cs="Arial"/>
                <w:sz w:val="20"/>
                <w:szCs w:val="20"/>
              </w:rPr>
            </w:pPr>
            <w:r w:rsidRPr="00666EA4">
              <w:rPr>
                <w:rFonts w:ascii="IBM Plex Sans" w:hAnsi="IBM Plex Sans" w:cs="Arial"/>
                <w:sz w:val="20"/>
                <w:szCs w:val="20"/>
              </w:rPr>
              <w:lastRenderedPageBreak/>
              <w:t>1</w:t>
            </w:r>
          </w:p>
        </w:tc>
        <w:tc>
          <w:tcPr>
            <w:tcW w:w="1984" w:type="dxa"/>
          </w:tcPr>
          <w:p w14:paraId="1157C902" w14:textId="25C0E0AE" w:rsidR="00EE7D06" w:rsidRPr="00666EA4" w:rsidRDefault="00EE7D06" w:rsidP="00666EA4">
            <w:p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666EA4">
              <w:rPr>
                <w:rFonts w:ascii="IBM Plex Sans" w:hAnsi="IBM Plex Sans" w:cs="Arial"/>
                <w:sz w:val="20"/>
                <w:szCs w:val="20"/>
              </w:rPr>
              <w:t>Nacional</w:t>
            </w:r>
          </w:p>
        </w:tc>
        <w:tc>
          <w:tcPr>
            <w:tcW w:w="5097" w:type="dxa"/>
          </w:tcPr>
          <w:p w14:paraId="6FC70F51" w14:textId="66BFF144" w:rsidR="00EE7D06" w:rsidRPr="00666EA4" w:rsidRDefault="00EE7D06" w:rsidP="00666EA4">
            <w:p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666EA4">
              <w:rPr>
                <w:rFonts w:ascii="IBM Plex Sans" w:hAnsi="IBM Plex Sans" w:cs="Arial"/>
                <w:sz w:val="20"/>
                <w:szCs w:val="20"/>
              </w:rPr>
              <w:t>La medida afecta todo el territorio nacional.</w:t>
            </w:r>
          </w:p>
        </w:tc>
      </w:tr>
      <w:tr w:rsidR="00EE7D06" w14:paraId="6EFF8ECA" w14:textId="77777777" w:rsidTr="00EE7D06">
        <w:tc>
          <w:tcPr>
            <w:cnfStyle w:val="001000000000" w:firstRow="0" w:lastRow="0" w:firstColumn="1" w:lastColumn="0" w:oddVBand="0" w:evenVBand="0" w:oddHBand="0" w:evenHBand="0" w:firstRowFirstColumn="0" w:firstRowLastColumn="0" w:lastRowFirstColumn="0" w:lastRowLastColumn="0"/>
            <w:tcW w:w="1413" w:type="dxa"/>
            <w:shd w:val="clear" w:color="auto" w:fill="002060"/>
          </w:tcPr>
          <w:p w14:paraId="14DCDE05" w14:textId="6C43D040" w:rsidR="00EE7D06" w:rsidRPr="00666EA4" w:rsidRDefault="00EE7D06" w:rsidP="00666EA4">
            <w:pPr>
              <w:rPr>
                <w:rFonts w:ascii="IBM Plex Sans" w:hAnsi="IBM Plex Sans" w:cs="Arial"/>
                <w:sz w:val="20"/>
                <w:szCs w:val="20"/>
              </w:rPr>
            </w:pPr>
            <w:r w:rsidRPr="00666EA4">
              <w:rPr>
                <w:rFonts w:ascii="IBM Plex Sans" w:hAnsi="IBM Plex Sans" w:cs="Arial"/>
                <w:sz w:val="20"/>
                <w:szCs w:val="20"/>
              </w:rPr>
              <w:t>2</w:t>
            </w:r>
          </w:p>
        </w:tc>
        <w:tc>
          <w:tcPr>
            <w:tcW w:w="1984" w:type="dxa"/>
          </w:tcPr>
          <w:p w14:paraId="783E20DB" w14:textId="3F88C743" w:rsidR="00EE7D06" w:rsidRPr="00666EA4" w:rsidRDefault="00EE7D06" w:rsidP="00666EA4">
            <w:p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666EA4">
              <w:rPr>
                <w:rFonts w:ascii="IBM Plex Sans" w:hAnsi="IBM Plex Sans" w:cs="Arial"/>
                <w:sz w:val="20"/>
                <w:szCs w:val="20"/>
              </w:rPr>
              <w:t>Subnacional</w:t>
            </w:r>
          </w:p>
        </w:tc>
        <w:tc>
          <w:tcPr>
            <w:tcW w:w="5097" w:type="dxa"/>
          </w:tcPr>
          <w:p w14:paraId="027F76DC" w14:textId="6A7B67AF" w:rsidR="00EE7D06" w:rsidRPr="00666EA4" w:rsidRDefault="00EE7D06" w:rsidP="00666EA4">
            <w:p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666EA4">
              <w:rPr>
                <w:rFonts w:ascii="IBM Plex Sans" w:hAnsi="IBM Plex Sans" w:cs="Arial"/>
                <w:sz w:val="20"/>
                <w:szCs w:val="20"/>
              </w:rPr>
              <w:t>La medida afecta una parte del territorio nacional.</w:t>
            </w:r>
          </w:p>
        </w:tc>
      </w:tr>
      <w:tr w:rsidR="00EE7D06" w14:paraId="08EF7DDE" w14:textId="77777777" w:rsidTr="00EE7D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002060"/>
          </w:tcPr>
          <w:p w14:paraId="5D15D66A" w14:textId="00991DCA" w:rsidR="00EE7D06" w:rsidRPr="00666EA4" w:rsidRDefault="00EE7D06" w:rsidP="00666EA4">
            <w:pPr>
              <w:rPr>
                <w:rFonts w:ascii="IBM Plex Sans" w:hAnsi="IBM Plex Sans" w:cs="Arial"/>
                <w:sz w:val="20"/>
                <w:szCs w:val="20"/>
              </w:rPr>
            </w:pPr>
            <w:r w:rsidRPr="00666EA4">
              <w:rPr>
                <w:rFonts w:ascii="IBM Plex Sans" w:hAnsi="IBM Plex Sans" w:cs="Arial"/>
                <w:sz w:val="20"/>
                <w:szCs w:val="20"/>
              </w:rPr>
              <w:t>3</w:t>
            </w:r>
          </w:p>
        </w:tc>
        <w:tc>
          <w:tcPr>
            <w:tcW w:w="1984" w:type="dxa"/>
          </w:tcPr>
          <w:p w14:paraId="29CF9B2B" w14:textId="0BFDC6C3" w:rsidR="00EE7D06" w:rsidRPr="00666EA4" w:rsidRDefault="00EE7D06" w:rsidP="00666EA4">
            <w:p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666EA4">
              <w:rPr>
                <w:rFonts w:ascii="IBM Plex Sans" w:hAnsi="IBM Plex Sans" w:cs="Arial"/>
                <w:sz w:val="20"/>
                <w:szCs w:val="20"/>
              </w:rPr>
              <w:t>Supranacional</w:t>
            </w:r>
          </w:p>
        </w:tc>
        <w:tc>
          <w:tcPr>
            <w:tcW w:w="5097" w:type="dxa"/>
          </w:tcPr>
          <w:p w14:paraId="1C80815D" w14:textId="3C3813F8" w:rsidR="00EE7D06" w:rsidRPr="00666EA4" w:rsidRDefault="00EE7D06" w:rsidP="00666EA4">
            <w:p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666EA4">
              <w:rPr>
                <w:rFonts w:ascii="IBM Plex Sans" w:hAnsi="IBM Plex Sans" w:cs="Arial"/>
                <w:sz w:val="20"/>
                <w:szCs w:val="20"/>
              </w:rPr>
              <w:t>La medida tiene un alcance internacional.</w:t>
            </w:r>
          </w:p>
        </w:tc>
      </w:tr>
      <w:tr w:rsidR="00EE7D06" w14:paraId="663C0E96" w14:textId="77777777" w:rsidTr="00EE7D06">
        <w:tc>
          <w:tcPr>
            <w:cnfStyle w:val="001000000000" w:firstRow="0" w:lastRow="0" w:firstColumn="1" w:lastColumn="0" w:oddVBand="0" w:evenVBand="0" w:oddHBand="0" w:evenHBand="0" w:firstRowFirstColumn="0" w:firstRowLastColumn="0" w:lastRowFirstColumn="0" w:lastRowLastColumn="0"/>
            <w:tcW w:w="1413" w:type="dxa"/>
            <w:shd w:val="clear" w:color="auto" w:fill="002060"/>
          </w:tcPr>
          <w:p w14:paraId="66BC6026" w14:textId="0D188FA6" w:rsidR="00EE7D06" w:rsidRPr="00666EA4" w:rsidRDefault="00EE7D06" w:rsidP="00666EA4">
            <w:pPr>
              <w:rPr>
                <w:rFonts w:ascii="IBM Plex Sans" w:hAnsi="IBM Plex Sans" w:cs="Arial"/>
                <w:sz w:val="20"/>
                <w:szCs w:val="20"/>
              </w:rPr>
            </w:pPr>
            <w:r w:rsidRPr="00666EA4">
              <w:rPr>
                <w:rFonts w:ascii="IBM Plex Sans" w:hAnsi="IBM Plex Sans" w:cs="Arial"/>
                <w:sz w:val="20"/>
                <w:szCs w:val="20"/>
              </w:rPr>
              <w:t>4</w:t>
            </w:r>
          </w:p>
        </w:tc>
        <w:tc>
          <w:tcPr>
            <w:tcW w:w="1984" w:type="dxa"/>
          </w:tcPr>
          <w:p w14:paraId="63C17BFA" w14:textId="34E0A389" w:rsidR="00EE7D06" w:rsidRPr="00666EA4" w:rsidRDefault="00EE7D06" w:rsidP="00666EA4">
            <w:p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666EA4">
              <w:rPr>
                <w:rFonts w:ascii="IBM Plex Sans" w:hAnsi="IBM Plex Sans" w:cs="Arial"/>
                <w:sz w:val="20"/>
                <w:szCs w:val="20"/>
              </w:rPr>
              <w:t>NI</w:t>
            </w:r>
          </w:p>
        </w:tc>
        <w:tc>
          <w:tcPr>
            <w:tcW w:w="5097" w:type="dxa"/>
          </w:tcPr>
          <w:p w14:paraId="10BE0E6C" w14:textId="668CEC48" w:rsidR="00EE7D06" w:rsidRPr="00666EA4" w:rsidRDefault="00EE7D06" w:rsidP="00666EA4">
            <w:p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666EA4">
              <w:rPr>
                <w:rFonts w:ascii="IBM Plex Sans" w:hAnsi="IBM Plex Sans" w:cs="Arial"/>
                <w:sz w:val="20"/>
                <w:szCs w:val="20"/>
              </w:rPr>
              <w:t>La medida no indica el alcance geográfico.</w:t>
            </w:r>
          </w:p>
        </w:tc>
      </w:tr>
    </w:tbl>
    <w:p w14:paraId="18806A4F" w14:textId="6A10C6DC" w:rsidR="00F31841" w:rsidRPr="00666EA4" w:rsidRDefault="009D77C2" w:rsidP="00666EA4">
      <w:pPr>
        <w:spacing w:line="240" w:lineRule="auto"/>
        <w:jc w:val="both"/>
        <w:rPr>
          <w:rFonts w:ascii="IBM Plex Sans Light" w:hAnsi="IBM Plex Sans Light" w:cs="Arial"/>
          <w:sz w:val="18"/>
          <w:szCs w:val="18"/>
        </w:rPr>
      </w:pPr>
      <w:r w:rsidRPr="00666EA4">
        <w:rPr>
          <w:rFonts w:ascii="IBM Plex Sans Light" w:hAnsi="IBM Plex Sans Light" w:cs="Arial"/>
          <w:sz w:val="18"/>
          <w:szCs w:val="18"/>
        </w:rPr>
        <w:t>Fuente: Elaboración propia.</w:t>
      </w:r>
    </w:p>
    <w:p w14:paraId="20A9CADA" w14:textId="77777777" w:rsidR="00EE7D06" w:rsidRPr="00FA688B" w:rsidRDefault="00EE7D06" w:rsidP="00666EA4">
      <w:pPr>
        <w:spacing w:line="240" w:lineRule="auto"/>
        <w:jc w:val="both"/>
        <w:rPr>
          <w:rFonts w:ascii="IBM Plex Sans" w:hAnsi="IBM Plex Sans" w:cs="Arial"/>
        </w:rPr>
      </w:pPr>
    </w:p>
    <w:p w14:paraId="123FBFF1" w14:textId="77777777" w:rsidR="00FA688B" w:rsidRPr="00FA688B" w:rsidRDefault="00F31841" w:rsidP="00FA688B">
      <w:pPr>
        <w:pStyle w:val="Ttulo2"/>
        <w:jc w:val="both"/>
        <w:rPr>
          <w:rFonts w:ascii="IBM Plex Sans" w:hAnsi="IBM Plex Sans"/>
        </w:rPr>
      </w:pPr>
      <w:bookmarkStart w:id="20" w:name="_Toc86615290"/>
      <w:r w:rsidRPr="00FA688B">
        <w:rPr>
          <w:rFonts w:ascii="IBM Plex Sans" w:hAnsi="IBM Plex Sans"/>
        </w:rPr>
        <w:t>1</w:t>
      </w:r>
      <w:r w:rsidR="00922773" w:rsidRPr="00FA688B">
        <w:rPr>
          <w:rFonts w:ascii="IBM Plex Sans" w:hAnsi="IBM Plex Sans"/>
        </w:rPr>
        <w:t>3</w:t>
      </w:r>
      <w:r w:rsidRPr="00FA688B">
        <w:rPr>
          <w:rFonts w:ascii="IBM Plex Sans" w:hAnsi="IBM Plex Sans"/>
        </w:rPr>
        <w:t xml:space="preserve">. Tipo de población </w:t>
      </w:r>
      <w:r w:rsidR="00A34B39" w:rsidRPr="00FA688B">
        <w:rPr>
          <w:rFonts w:ascii="IBM Plex Sans" w:hAnsi="IBM Plex Sans"/>
        </w:rPr>
        <w:t xml:space="preserve">afectada directamente </w:t>
      </w:r>
      <w:r w:rsidR="001D698D" w:rsidRPr="00FA688B">
        <w:rPr>
          <w:rFonts w:ascii="IBM Plex Sans" w:hAnsi="IBM Plex Sans"/>
        </w:rPr>
        <w:t>(</w:t>
      </w:r>
      <w:r w:rsidR="00A34B39" w:rsidRPr="00FA688B">
        <w:rPr>
          <w:rFonts w:ascii="IBM Plex Sans" w:hAnsi="IBM Plex Sans"/>
        </w:rPr>
        <w:t>tipo_</w:t>
      </w:r>
      <w:r w:rsidR="00F1296F" w:rsidRPr="00FA688B">
        <w:rPr>
          <w:rFonts w:ascii="IBM Plex Sans" w:hAnsi="IBM Plex Sans"/>
        </w:rPr>
        <w:t>poblacion</w:t>
      </w:r>
      <w:r w:rsidR="001D698D" w:rsidRPr="00FA688B">
        <w:rPr>
          <w:rFonts w:ascii="IBM Plex Sans" w:hAnsi="IBM Plex Sans"/>
        </w:rPr>
        <w:t>)</w:t>
      </w:r>
      <w:r w:rsidR="00F1296F" w:rsidRPr="00FA688B">
        <w:rPr>
          <w:rFonts w:ascii="IBM Plex Sans" w:hAnsi="IBM Plex Sans"/>
        </w:rPr>
        <w:t xml:space="preserve"> y 1</w:t>
      </w:r>
      <w:r w:rsidR="00922773" w:rsidRPr="00FA688B">
        <w:rPr>
          <w:rFonts w:ascii="IBM Plex Sans" w:hAnsi="IBM Plex Sans"/>
        </w:rPr>
        <w:t>4</w:t>
      </w:r>
      <w:r w:rsidR="00A34B39" w:rsidRPr="00FA688B">
        <w:rPr>
          <w:rFonts w:ascii="IBM Plex Sans" w:hAnsi="IBM Plex Sans"/>
        </w:rPr>
        <w:t>. sub</w:t>
      </w:r>
      <w:r w:rsidR="00F1296F" w:rsidRPr="00FA688B">
        <w:rPr>
          <w:rFonts w:ascii="IBM Plex Sans" w:hAnsi="IBM Plex Sans"/>
        </w:rPr>
        <w:t xml:space="preserve">tipo de población </w:t>
      </w:r>
      <w:r w:rsidR="00A34B39" w:rsidRPr="00FA688B">
        <w:rPr>
          <w:rFonts w:ascii="IBM Plex Sans" w:hAnsi="IBM Plex Sans"/>
        </w:rPr>
        <w:t xml:space="preserve">afectada directamente </w:t>
      </w:r>
      <w:r w:rsidR="00F1296F" w:rsidRPr="00FA688B">
        <w:rPr>
          <w:rFonts w:ascii="IBM Plex Sans" w:hAnsi="IBM Plex Sans"/>
        </w:rPr>
        <w:t>(</w:t>
      </w:r>
      <w:proofErr w:type="spellStart"/>
      <w:r w:rsidR="00A34B39" w:rsidRPr="00FA688B">
        <w:rPr>
          <w:rFonts w:ascii="IBM Plex Sans" w:hAnsi="IBM Plex Sans"/>
        </w:rPr>
        <w:t>subtipo_</w:t>
      </w:r>
      <w:r w:rsidR="00F1296F" w:rsidRPr="00FA688B">
        <w:rPr>
          <w:rFonts w:ascii="IBM Plex Sans" w:hAnsi="IBM Plex Sans"/>
        </w:rPr>
        <w:t>poblacion</w:t>
      </w:r>
      <w:proofErr w:type="spellEnd"/>
      <w:r w:rsidR="00F1296F" w:rsidRPr="00FA688B">
        <w:rPr>
          <w:rFonts w:ascii="IBM Plex Sans" w:hAnsi="IBM Plex Sans"/>
        </w:rPr>
        <w:t>)</w:t>
      </w:r>
      <w:bookmarkEnd w:id="20"/>
    </w:p>
    <w:p w14:paraId="117B1F82" w14:textId="5DC2B8FE" w:rsidR="00F31841" w:rsidRPr="00FA688B" w:rsidRDefault="001D698D" w:rsidP="00666EA4">
      <w:pPr>
        <w:spacing w:line="240" w:lineRule="auto"/>
        <w:jc w:val="both"/>
        <w:rPr>
          <w:rFonts w:ascii="IBM Plex Sans" w:hAnsi="IBM Plex Sans" w:cs="Arial"/>
        </w:rPr>
      </w:pPr>
      <w:r w:rsidRPr="00FA688B">
        <w:rPr>
          <w:rFonts w:ascii="IBM Plex Sans" w:hAnsi="IBM Plex Sans" w:cs="Arial"/>
        </w:rPr>
        <w:t xml:space="preserve">Esta variable hace una clasificación simplificada del tipo </w:t>
      </w:r>
      <w:r w:rsidR="00A34B39" w:rsidRPr="00FA688B">
        <w:rPr>
          <w:rFonts w:ascii="IBM Plex Sans" w:hAnsi="IBM Plex Sans" w:cs="Arial"/>
        </w:rPr>
        <w:t xml:space="preserve">y subtipo </w:t>
      </w:r>
      <w:r w:rsidRPr="00FA688B">
        <w:rPr>
          <w:rFonts w:ascii="IBM Plex Sans" w:hAnsi="IBM Plex Sans" w:cs="Arial"/>
        </w:rPr>
        <w:t>de población afectad</w:t>
      </w:r>
      <w:r w:rsidR="00F1296F" w:rsidRPr="00FA688B">
        <w:rPr>
          <w:rFonts w:ascii="IBM Plex Sans" w:hAnsi="IBM Plex Sans" w:cs="Arial"/>
        </w:rPr>
        <w:t>a</w:t>
      </w:r>
      <w:r w:rsidRPr="00FA688B">
        <w:rPr>
          <w:rFonts w:ascii="IBM Plex Sans" w:hAnsi="IBM Plex Sans" w:cs="Arial"/>
        </w:rPr>
        <w:t xml:space="preserve"> directamente por la medida. En caso de que el documento no indique explícitamente el tipo de población se deberá registrarse “NI”.</w:t>
      </w:r>
    </w:p>
    <w:p w14:paraId="64FCAE0B" w14:textId="0866E3A5" w:rsidR="00760835" w:rsidRPr="00FA688B" w:rsidRDefault="00760835" w:rsidP="00FA688B">
      <w:pPr>
        <w:spacing w:after="0" w:line="360" w:lineRule="auto"/>
        <w:jc w:val="both"/>
        <w:rPr>
          <w:rFonts w:ascii="IBM Plex Sans Light" w:hAnsi="IBM Plex Sans Light" w:cs="Arial"/>
          <w:b/>
          <w:bCs/>
        </w:rPr>
      </w:pPr>
      <w:r w:rsidRPr="00FA688B">
        <w:rPr>
          <w:rFonts w:ascii="IBM Plex Sans Light" w:hAnsi="IBM Plex Sans Light" w:cs="Arial"/>
          <w:b/>
          <w:bCs/>
        </w:rPr>
        <w:t xml:space="preserve">Cuadro </w:t>
      </w:r>
      <w:r w:rsidR="00922773" w:rsidRPr="00FA688B">
        <w:rPr>
          <w:rFonts w:ascii="IBM Plex Sans Light" w:hAnsi="IBM Plex Sans Light" w:cs="Arial"/>
          <w:b/>
          <w:bCs/>
        </w:rPr>
        <w:t>7</w:t>
      </w:r>
      <w:r w:rsidRPr="00FA688B">
        <w:rPr>
          <w:rFonts w:ascii="IBM Plex Sans Light" w:hAnsi="IBM Plex Sans Light" w:cs="Arial"/>
          <w:b/>
          <w:bCs/>
        </w:rPr>
        <w:t>. Tipo y subtipo de población.</w:t>
      </w:r>
    </w:p>
    <w:tbl>
      <w:tblPr>
        <w:tblStyle w:val="Tablaconcuadrcula5oscura-nfasis1"/>
        <w:tblW w:w="0" w:type="auto"/>
        <w:tblLook w:val="04A0" w:firstRow="1" w:lastRow="0" w:firstColumn="1" w:lastColumn="0" w:noHBand="0" w:noVBand="1"/>
      </w:tblPr>
      <w:tblGrid>
        <w:gridCol w:w="2972"/>
        <w:gridCol w:w="5522"/>
      </w:tblGrid>
      <w:tr w:rsidR="00A34B39" w14:paraId="1D580C2B" w14:textId="77777777" w:rsidTr="007608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002060"/>
          </w:tcPr>
          <w:p w14:paraId="409E7E5A" w14:textId="18065C08" w:rsidR="00A34B39" w:rsidRPr="00FA688B" w:rsidRDefault="00A34B39" w:rsidP="00FA688B">
            <w:pPr>
              <w:jc w:val="both"/>
              <w:rPr>
                <w:rFonts w:ascii="IBM Plex Sans" w:hAnsi="IBM Plex Sans" w:cs="Arial"/>
                <w:sz w:val="20"/>
                <w:szCs w:val="20"/>
              </w:rPr>
            </w:pPr>
            <w:r w:rsidRPr="00FA688B">
              <w:rPr>
                <w:rFonts w:ascii="IBM Plex Sans" w:hAnsi="IBM Plex Sans" w:cs="Arial"/>
                <w:sz w:val="20"/>
                <w:szCs w:val="20"/>
              </w:rPr>
              <w:t>Tipo de población</w:t>
            </w:r>
          </w:p>
        </w:tc>
        <w:tc>
          <w:tcPr>
            <w:tcW w:w="5522" w:type="dxa"/>
            <w:shd w:val="clear" w:color="auto" w:fill="002060"/>
          </w:tcPr>
          <w:p w14:paraId="1B6218A4" w14:textId="4AFCF075" w:rsidR="00A34B39" w:rsidRPr="00FA688B" w:rsidRDefault="00A34B39" w:rsidP="00FA688B">
            <w:pPr>
              <w:jc w:val="both"/>
              <w:cnfStyle w:val="100000000000" w:firstRow="1"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Subtipo de población</w:t>
            </w:r>
          </w:p>
        </w:tc>
      </w:tr>
      <w:tr w:rsidR="00390BED" w14:paraId="26F4D4E1" w14:textId="77777777" w:rsidTr="00760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val="restart"/>
            <w:shd w:val="clear" w:color="auto" w:fill="002060"/>
          </w:tcPr>
          <w:p w14:paraId="5B763282" w14:textId="744CEFEE" w:rsidR="00390BED" w:rsidRPr="00FA688B" w:rsidRDefault="00390BED" w:rsidP="00FA688B">
            <w:pPr>
              <w:jc w:val="both"/>
              <w:rPr>
                <w:rFonts w:ascii="IBM Plex Sans" w:hAnsi="IBM Plex Sans" w:cs="Arial"/>
                <w:sz w:val="20"/>
                <w:szCs w:val="20"/>
              </w:rPr>
            </w:pPr>
            <w:r w:rsidRPr="00FA688B">
              <w:rPr>
                <w:rFonts w:ascii="IBM Plex Sans" w:hAnsi="IBM Plex Sans" w:cs="Arial"/>
                <w:sz w:val="20"/>
                <w:szCs w:val="20"/>
              </w:rPr>
              <w:t>Empresas</w:t>
            </w:r>
          </w:p>
        </w:tc>
        <w:tc>
          <w:tcPr>
            <w:tcW w:w="5522" w:type="dxa"/>
          </w:tcPr>
          <w:p w14:paraId="607C988A" w14:textId="2125651C" w:rsidR="00390BED" w:rsidRPr="00FA688B" w:rsidRDefault="00390BED" w:rsidP="00FA688B">
            <w:pPr>
              <w:jc w:val="both"/>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Bancos</w:t>
            </w:r>
          </w:p>
        </w:tc>
      </w:tr>
      <w:tr w:rsidR="00390BED" w14:paraId="1ADB3FDF" w14:textId="77777777" w:rsidTr="00760835">
        <w:tc>
          <w:tcPr>
            <w:cnfStyle w:val="001000000000" w:firstRow="0" w:lastRow="0" w:firstColumn="1" w:lastColumn="0" w:oddVBand="0" w:evenVBand="0" w:oddHBand="0" w:evenHBand="0" w:firstRowFirstColumn="0" w:firstRowLastColumn="0" w:lastRowFirstColumn="0" w:lastRowLastColumn="0"/>
            <w:tcW w:w="2972" w:type="dxa"/>
            <w:vMerge/>
            <w:shd w:val="clear" w:color="auto" w:fill="002060"/>
          </w:tcPr>
          <w:p w14:paraId="08B06580" w14:textId="77777777" w:rsidR="00390BED" w:rsidRPr="00FA688B" w:rsidRDefault="00390BED" w:rsidP="00FA688B">
            <w:pPr>
              <w:jc w:val="both"/>
              <w:rPr>
                <w:rFonts w:ascii="IBM Plex Sans" w:hAnsi="IBM Plex Sans" w:cs="Arial"/>
                <w:sz w:val="20"/>
                <w:szCs w:val="20"/>
              </w:rPr>
            </w:pPr>
          </w:p>
        </w:tc>
        <w:tc>
          <w:tcPr>
            <w:tcW w:w="5522" w:type="dxa"/>
          </w:tcPr>
          <w:p w14:paraId="72329DC3" w14:textId="154CEC36" w:rsidR="00390BED" w:rsidRPr="00FA688B" w:rsidRDefault="00390BED" w:rsidP="00FA688B">
            <w:pPr>
              <w:jc w:val="both"/>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Cooperativas</w:t>
            </w:r>
          </w:p>
        </w:tc>
      </w:tr>
      <w:tr w:rsidR="00390BED" w14:paraId="53A2DB90" w14:textId="77777777" w:rsidTr="00760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002060"/>
          </w:tcPr>
          <w:p w14:paraId="7EFB6EF8" w14:textId="48EE757B" w:rsidR="00390BED" w:rsidRPr="00FA688B" w:rsidRDefault="00390BED" w:rsidP="00FA688B">
            <w:pPr>
              <w:jc w:val="both"/>
              <w:rPr>
                <w:rFonts w:ascii="IBM Plex Sans" w:hAnsi="IBM Plex Sans" w:cs="Arial"/>
                <w:sz w:val="20"/>
                <w:szCs w:val="20"/>
              </w:rPr>
            </w:pPr>
          </w:p>
        </w:tc>
        <w:tc>
          <w:tcPr>
            <w:tcW w:w="5522" w:type="dxa"/>
          </w:tcPr>
          <w:p w14:paraId="0EDD1CB4" w14:textId="09E16E1A" w:rsidR="00390BED" w:rsidRPr="00FA688B" w:rsidRDefault="007A2603" w:rsidP="00FA688B">
            <w:pPr>
              <w:jc w:val="both"/>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Grandes empresas</w:t>
            </w:r>
          </w:p>
        </w:tc>
      </w:tr>
      <w:tr w:rsidR="00390BED" w14:paraId="1BDEBA01" w14:textId="77777777" w:rsidTr="00760835">
        <w:tc>
          <w:tcPr>
            <w:cnfStyle w:val="001000000000" w:firstRow="0" w:lastRow="0" w:firstColumn="1" w:lastColumn="0" w:oddVBand="0" w:evenVBand="0" w:oddHBand="0" w:evenHBand="0" w:firstRowFirstColumn="0" w:firstRowLastColumn="0" w:lastRowFirstColumn="0" w:lastRowLastColumn="0"/>
            <w:tcW w:w="2972" w:type="dxa"/>
            <w:vMerge/>
            <w:shd w:val="clear" w:color="auto" w:fill="002060"/>
          </w:tcPr>
          <w:p w14:paraId="3DD25D18" w14:textId="77777777" w:rsidR="00390BED" w:rsidRPr="00FA688B" w:rsidRDefault="00390BED" w:rsidP="00FA688B">
            <w:pPr>
              <w:jc w:val="both"/>
              <w:rPr>
                <w:rFonts w:ascii="IBM Plex Sans" w:hAnsi="IBM Plex Sans" w:cs="Arial"/>
                <w:sz w:val="20"/>
                <w:szCs w:val="20"/>
              </w:rPr>
            </w:pPr>
          </w:p>
        </w:tc>
        <w:tc>
          <w:tcPr>
            <w:tcW w:w="5522" w:type="dxa"/>
          </w:tcPr>
          <w:p w14:paraId="4A4A34F7" w14:textId="0DE69EDF" w:rsidR="00390BED" w:rsidRPr="00FA688B" w:rsidRDefault="007A2603" w:rsidP="00FA688B">
            <w:pPr>
              <w:jc w:val="both"/>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MI</w:t>
            </w:r>
            <w:r w:rsidR="00390BED" w:rsidRPr="00FA688B">
              <w:rPr>
                <w:rFonts w:ascii="IBM Plex Sans" w:hAnsi="IBM Plex Sans" w:cs="Arial"/>
                <w:sz w:val="20"/>
                <w:szCs w:val="20"/>
              </w:rPr>
              <w:t>PYMES</w:t>
            </w:r>
          </w:p>
        </w:tc>
      </w:tr>
      <w:tr w:rsidR="00390BED" w14:paraId="66E32255" w14:textId="77777777" w:rsidTr="00760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val="restart"/>
            <w:shd w:val="clear" w:color="auto" w:fill="002060"/>
          </w:tcPr>
          <w:p w14:paraId="6D000363" w14:textId="40396203" w:rsidR="00390BED" w:rsidRPr="00FA688B" w:rsidRDefault="00390BED" w:rsidP="00FA688B">
            <w:pPr>
              <w:jc w:val="both"/>
              <w:rPr>
                <w:rFonts w:ascii="IBM Plex Sans" w:hAnsi="IBM Plex Sans" w:cs="Arial"/>
                <w:sz w:val="20"/>
                <w:szCs w:val="20"/>
              </w:rPr>
            </w:pPr>
            <w:r w:rsidRPr="00FA688B">
              <w:rPr>
                <w:rFonts w:ascii="IBM Plex Sans" w:hAnsi="IBM Plex Sans" w:cs="Arial"/>
                <w:sz w:val="20"/>
                <w:szCs w:val="20"/>
              </w:rPr>
              <w:t>Personas trabajadoras</w:t>
            </w:r>
          </w:p>
        </w:tc>
        <w:tc>
          <w:tcPr>
            <w:tcW w:w="5522" w:type="dxa"/>
          </w:tcPr>
          <w:p w14:paraId="348ED737" w14:textId="7658C9EA" w:rsidR="00390BED" w:rsidRPr="00FA688B" w:rsidRDefault="00390BED" w:rsidP="00FA688B">
            <w:pPr>
              <w:jc w:val="both"/>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Asalariados</w:t>
            </w:r>
            <w:r w:rsidR="007A2603" w:rsidRPr="00FA688B">
              <w:rPr>
                <w:rFonts w:ascii="IBM Plex Sans" w:hAnsi="IBM Plex Sans" w:cs="Arial"/>
                <w:sz w:val="20"/>
                <w:szCs w:val="20"/>
              </w:rPr>
              <w:t xml:space="preserve"> del sector privado</w:t>
            </w:r>
          </w:p>
        </w:tc>
      </w:tr>
      <w:tr w:rsidR="00390BED" w14:paraId="27520BF9" w14:textId="77777777" w:rsidTr="00760835">
        <w:tc>
          <w:tcPr>
            <w:cnfStyle w:val="001000000000" w:firstRow="0" w:lastRow="0" w:firstColumn="1" w:lastColumn="0" w:oddVBand="0" w:evenVBand="0" w:oddHBand="0" w:evenHBand="0" w:firstRowFirstColumn="0" w:firstRowLastColumn="0" w:lastRowFirstColumn="0" w:lastRowLastColumn="0"/>
            <w:tcW w:w="2972" w:type="dxa"/>
            <w:vMerge/>
            <w:shd w:val="clear" w:color="auto" w:fill="002060"/>
          </w:tcPr>
          <w:p w14:paraId="0DDB2450" w14:textId="77777777" w:rsidR="00390BED" w:rsidRPr="00FA688B" w:rsidRDefault="00390BED" w:rsidP="00FA688B">
            <w:pPr>
              <w:jc w:val="both"/>
              <w:rPr>
                <w:rFonts w:ascii="IBM Plex Sans" w:hAnsi="IBM Plex Sans" w:cs="Arial"/>
                <w:sz w:val="20"/>
                <w:szCs w:val="20"/>
              </w:rPr>
            </w:pPr>
          </w:p>
        </w:tc>
        <w:tc>
          <w:tcPr>
            <w:tcW w:w="5522" w:type="dxa"/>
          </w:tcPr>
          <w:p w14:paraId="2B0CDB9E" w14:textId="1AE8B858" w:rsidR="00390BED" w:rsidRPr="00FA688B" w:rsidRDefault="00390BED" w:rsidP="00FA688B">
            <w:pPr>
              <w:jc w:val="both"/>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Desempleados(as)</w:t>
            </w:r>
          </w:p>
        </w:tc>
      </w:tr>
      <w:tr w:rsidR="00390BED" w14:paraId="535F27E6" w14:textId="77777777" w:rsidTr="00760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002060"/>
          </w:tcPr>
          <w:p w14:paraId="67C19E61" w14:textId="77777777" w:rsidR="00390BED" w:rsidRPr="00FA688B" w:rsidRDefault="00390BED" w:rsidP="00FA688B">
            <w:pPr>
              <w:jc w:val="both"/>
              <w:rPr>
                <w:rFonts w:ascii="IBM Plex Sans" w:hAnsi="IBM Plex Sans" w:cs="Arial"/>
                <w:sz w:val="20"/>
                <w:szCs w:val="20"/>
              </w:rPr>
            </w:pPr>
          </w:p>
        </w:tc>
        <w:tc>
          <w:tcPr>
            <w:tcW w:w="5522" w:type="dxa"/>
          </w:tcPr>
          <w:p w14:paraId="09E5E3C1" w14:textId="3AE46970" w:rsidR="00390BED" w:rsidRPr="00FA688B" w:rsidRDefault="00390BED" w:rsidP="00FA688B">
            <w:pPr>
              <w:jc w:val="both"/>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Funcionarios públicos</w:t>
            </w:r>
          </w:p>
        </w:tc>
      </w:tr>
      <w:tr w:rsidR="00390BED" w14:paraId="62005674" w14:textId="77777777" w:rsidTr="00760835">
        <w:tc>
          <w:tcPr>
            <w:cnfStyle w:val="001000000000" w:firstRow="0" w:lastRow="0" w:firstColumn="1" w:lastColumn="0" w:oddVBand="0" w:evenVBand="0" w:oddHBand="0" w:evenHBand="0" w:firstRowFirstColumn="0" w:firstRowLastColumn="0" w:lastRowFirstColumn="0" w:lastRowLastColumn="0"/>
            <w:tcW w:w="2972" w:type="dxa"/>
            <w:vMerge/>
            <w:shd w:val="clear" w:color="auto" w:fill="002060"/>
          </w:tcPr>
          <w:p w14:paraId="27380255" w14:textId="77777777" w:rsidR="00390BED" w:rsidRPr="00FA688B" w:rsidRDefault="00390BED" w:rsidP="00FA688B">
            <w:pPr>
              <w:jc w:val="both"/>
              <w:rPr>
                <w:rFonts w:ascii="IBM Plex Sans" w:hAnsi="IBM Plex Sans" w:cs="Arial"/>
                <w:sz w:val="20"/>
                <w:szCs w:val="20"/>
              </w:rPr>
            </w:pPr>
          </w:p>
        </w:tc>
        <w:tc>
          <w:tcPr>
            <w:tcW w:w="5522" w:type="dxa"/>
          </w:tcPr>
          <w:p w14:paraId="2ABE4F98" w14:textId="048FC432" w:rsidR="00390BED" w:rsidRPr="00FA688B" w:rsidRDefault="00390BED" w:rsidP="00FA688B">
            <w:pPr>
              <w:jc w:val="both"/>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Independientes</w:t>
            </w:r>
          </w:p>
        </w:tc>
      </w:tr>
      <w:tr w:rsidR="00161F1D" w14:paraId="21685E35" w14:textId="77777777" w:rsidTr="00760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002060"/>
          </w:tcPr>
          <w:p w14:paraId="6C602B5E" w14:textId="184BE700" w:rsidR="00161F1D" w:rsidRPr="00FA688B" w:rsidRDefault="00161F1D" w:rsidP="00FA688B">
            <w:pPr>
              <w:jc w:val="both"/>
              <w:rPr>
                <w:rFonts w:ascii="IBM Plex Sans" w:hAnsi="IBM Plex Sans" w:cs="Arial"/>
                <w:sz w:val="20"/>
                <w:szCs w:val="20"/>
              </w:rPr>
            </w:pPr>
            <w:r w:rsidRPr="00FA688B">
              <w:rPr>
                <w:rFonts w:ascii="IBM Plex Sans" w:hAnsi="IBM Plex Sans" w:cs="Arial"/>
                <w:sz w:val="20"/>
                <w:szCs w:val="20"/>
              </w:rPr>
              <w:t>Población general</w:t>
            </w:r>
          </w:p>
        </w:tc>
        <w:tc>
          <w:tcPr>
            <w:tcW w:w="5522" w:type="dxa"/>
          </w:tcPr>
          <w:p w14:paraId="406C9A4D" w14:textId="6C2F2967" w:rsidR="00161F1D" w:rsidRPr="00FA688B" w:rsidRDefault="00161F1D" w:rsidP="00FA688B">
            <w:pPr>
              <w:jc w:val="both"/>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Población general</w:t>
            </w:r>
          </w:p>
        </w:tc>
      </w:tr>
      <w:tr w:rsidR="00760835" w14:paraId="49DCFA5C" w14:textId="77777777" w:rsidTr="00760835">
        <w:tc>
          <w:tcPr>
            <w:cnfStyle w:val="001000000000" w:firstRow="0" w:lastRow="0" w:firstColumn="1" w:lastColumn="0" w:oddVBand="0" w:evenVBand="0" w:oddHBand="0" w:evenHBand="0" w:firstRowFirstColumn="0" w:firstRowLastColumn="0" w:lastRowFirstColumn="0" w:lastRowLastColumn="0"/>
            <w:tcW w:w="2972" w:type="dxa"/>
            <w:vMerge w:val="restart"/>
            <w:shd w:val="clear" w:color="auto" w:fill="002060"/>
          </w:tcPr>
          <w:p w14:paraId="55D79720" w14:textId="02BFAAC8" w:rsidR="00760835" w:rsidRPr="00FA688B" w:rsidRDefault="00760835" w:rsidP="00FA688B">
            <w:pPr>
              <w:jc w:val="both"/>
              <w:rPr>
                <w:rFonts w:ascii="IBM Plex Sans" w:hAnsi="IBM Plex Sans" w:cs="Arial"/>
                <w:sz w:val="20"/>
                <w:szCs w:val="20"/>
              </w:rPr>
            </w:pPr>
            <w:r w:rsidRPr="00FA688B">
              <w:rPr>
                <w:rFonts w:ascii="IBM Plex Sans" w:hAnsi="IBM Plex Sans" w:cs="Arial"/>
                <w:sz w:val="20"/>
                <w:szCs w:val="20"/>
              </w:rPr>
              <w:t>Población específica</w:t>
            </w:r>
          </w:p>
        </w:tc>
        <w:tc>
          <w:tcPr>
            <w:tcW w:w="5522" w:type="dxa"/>
          </w:tcPr>
          <w:p w14:paraId="4ACD87BB" w14:textId="4A4A4936" w:rsidR="00760835" w:rsidRPr="00FA688B" w:rsidRDefault="00760835" w:rsidP="00FA688B">
            <w:pPr>
              <w:jc w:val="both"/>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Adultos mayores</w:t>
            </w:r>
          </w:p>
        </w:tc>
      </w:tr>
      <w:tr w:rsidR="00760835" w14:paraId="13616CE4" w14:textId="77777777" w:rsidTr="00760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002060"/>
          </w:tcPr>
          <w:p w14:paraId="0EBABB67" w14:textId="77777777" w:rsidR="00760835" w:rsidRPr="00FA688B" w:rsidRDefault="00760835" w:rsidP="00FA688B">
            <w:pPr>
              <w:jc w:val="both"/>
              <w:rPr>
                <w:rFonts w:ascii="IBM Plex Sans" w:hAnsi="IBM Plex Sans" w:cs="Arial"/>
                <w:sz w:val="20"/>
                <w:szCs w:val="20"/>
              </w:rPr>
            </w:pPr>
          </w:p>
        </w:tc>
        <w:tc>
          <w:tcPr>
            <w:tcW w:w="5522" w:type="dxa"/>
          </w:tcPr>
          <w:p w14:paraId="2CB4139E" w14:textId="5E815D9A" w:rsidR="00760835" w:rsidRPr="00FA688B" w:rsidRDefault="00760835" w:rsidP="00FA688B">
            <w:pPr>
              <w:jc w:val="both"/>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Deudores de préstamos</w:t>
            </w:r>
          </w:p>
        </w:tc>
      </w:tr>
      <w:tr w:rsidR="00760835" w14:paraId="561BABA4" w14:textId="77777777" w:rsidTr="00760835">
        <w:tc>
          <w:tcPr>
            <w:cnfStyle w:val="001000000000" w:firstRow="0" w:lastRow="0" w:firstColumn="1" w:lastColumn="0" w:oddVBand="0" w:evenVBand="0" w:oddHBand="0" w:evenHBand="0" w:firstRowFirstColumn="0" w:firstRowLastColumn="0" w:lastRowFirstColumn="0" w:lastRowLastColumn="0"/>
            <w:tcW w:w="2972" w:type="dxa"/>
            <w:vMerge/>
            <w:shd w:val="clear" w:color="auto" w:fill="002060"/>
          </w:tcPr>
          <w:p w14:paraId="3D7D64B4" w14:textId="77777777" w:rsidR="00760835" w:rsidRPr="00FA688B" w:rsidRDefault="00760835" w:rsidP="00FA688B">
            <w:pPr>
              <w:jc w:val="both"/>
              <w:rPr>
                <w:rFonts w:ascii="IBM Plex Sans" w:hAnsi="IBM Plex Sans" w:cs="Arial"/>
                <w:sz w:val="20"/>
                <w:szCs w:val="20"/>
              </w:rPr>
            </w:pPr>
          </w:p>
        </w:tc>
        <w:tc>
          <w:tcPr>
            <w:tcW w:w="5522" w:type="dxa"/>
          </w:tcPr>
          <w:p w14:paraId="0E8D1999" w14:textId="36AE3072" w:rsidR="00760835" w:rsidRPr="00FA688B" w:rsidRDefault="00760835" w:rsidP="00FA688B">
            <w:pPr>
              <w:jc w:val="both"/>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Estudiantes de primaria y secundaria</w:t>
            </w:r>
          </w:p>
        </w:tc>
      </w:tr>
      <w:tr w:rsidR="00760835" w14:paraId="561EA29E" w14:textId="77777777" w:rsidTr="00760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002060"/>
          </w:tcPr>
          <w:p w14:paraId="78CE3A5E" w14:textId="77777777" w:rsidR="00760835" w:rsidRPr="00FA688B" w:rsidRDefault="00760835" w:rsidP="00FA688B">
            <w:pPr>
              <w:jc w:val="both"/>
              <w:rPr>
                <w:rFonts w:ascii="IBM Plex Sans" w:hAnsi="IBM Plex Sans" w:cs="Arial"/>
                <w:sz w:val="20"/>
                <w:szCs w:val="20"/>
              </w:rPr>
            </w:pPr>
          </w:p>
        </w:tc>
        <w:tc>
          <w:tcPr>
            <w:tcW w:w="5522" w:type="dxa"/>
          </w:tcPr>
          <w:p w14:paraId="1AA20ECE" w14:textId="06B0D098" w:rsidR="00760835" w:rsidRPr="00FA688B" w:rsidRDefault="00760835" w:rsidP="00FA688B">
            <w:pPr>
              <w:jc w:val="both"/>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Estudiantes universitarios</w:t>
            </w:r>
          </w:p>
        </w:tc>
      </w:tr>
      <w:tr w:rsidR="00760835" w14:paraId="5C6B5B64" w14:textId="77777777" w:rsidTr="00760835">
        <w:tc>
          <w:tcPr>
            <w:cnfStyle w:val="001000000000" w:firstRow="0" w:lastRow="0" w:firstColumn="1" w:lastColumn="0" w:oddVBand="0" w:evenVBand="0" w:oddHBand="0" w:evenHBand="0" w:firstRowFirstColumn="0" w:firstRowLastColumn="0" w:lastRowFirstColumn="0" w:lastRowLastColumn="0"/>
            <w:tcW w:w="2972" w:type="dxa"/>
            <w:vMerge/>
            <w:shd w:val="clear" w:color="auto" w:fill="002060"/>
          </w:tcPr>
          <w:p w14:paraId="6DAD8DB5" w14:textId="77777777" w:rsidR="00760835" w:rsidRPr="00FA688B" w:rsidRDefault="00760835" w:rsidP="00FA688B">
            <w:pPr>
              <w:jc w:val="both"/>
              <w:rPr>
                <w:rFonts w:ascii="IBM Plex Sans" w:hAnsi="IBM Plex Sans" w:cs="Arial"/>
                <w:sz w:val="20"/>
                <w:szCs w:val="20"/>
              </w:rPr>
            </w:pPr>
          </w:p>
        </w:tc>
        <w:tc>
          <w:tcPr>
            <w:tcW w:w="5522" w:type="dxa"/>
          </w:tcPr>
          <w:p w14:paraId="36224986" w14:textId="40A1F4BF" w:rsidR="00760835" w:rsidRPr="00FA688B" w:rsidRDefault="00760835" w:rsidP="00FA688B">
            <w:pPr>
              <w:jc w:val="both"/>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Grupos de profesionales (por ejemplo: médicos, deportistas, actores, cantantes, entre otros)</w:t>
            </w:r>
          </w:p>
        </w:tc>
      </w:tr>
      <w:tr w:rsidR="00760835" w14:paraId="22E0F5DC" w14:textId="77777777" w:rsidTr="00760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002060"/>
          </w:tcPr>
          <w:p w14:paraId="7E94A118" w14:textId="77777777" w:rsidR="00760835" w:rsidRPr="00FA688B" w:rsidRDefault="00760835" w:rsidP="00FA688B">
            <w:pPr>
              <w:jc w:val="both"/>
              <w:rPr>
                <w:rFonts w:ascii="IBM Plex Sans" w:hAnsi="IBM Plex Sans" w:cs="Arial"/>
                <w:sz w:val="20"/>
                <w:szCs w:val="20"/>
              </w:rPr>
            </w:pPr>
          </w:p>
        </w:tc>
        <w:tc>
          <w:tcPr>
            <w:tcW w:w="5522" w:type="dxa"/>
          </w:tcPr>
          <w:p w14:paraId="26F512DA" w14:textId="1834E382" w:rsidR="00760835" w:rsidRPr="00FA688B" w:rsidRDefault="00760835" w:rsidP="00FA688B">
            <w:pPr>
              <w:jc w:val="both"/>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Mujeres</w:t>
            </w:r>
          </w:p>
        </w:tc>
      </w:tr>
      <w:tr w:rsidR="00760835" w14:paraId="2460E48A" w14:textId="77777777" w:rsidTr="00760835">
        <w:tc>
          <w:tcPr>
            <w:cnfStyle w:val="001000000000" w:firstRow="0" w:lastRow="0" w:firstColumn="1" w:lastColumn="0" w:oddVBand="0" w:evenVBand="0" w:oddHBand="0" w:evenHBand="0" w:firstRowFirstColumn="0" w:firstRowLastColumn="0" w:lastRowFirstColumn="0" w:lastRowLastColumn="0"/>
            <w:tcW w:w="2972" w:type="dxa"/>
            <w:vMerge/>
            <w:shd w:val="clear" w:color="auto" w:fill="002060"/>
          </w:tcPr>
          <w:p w14:paraId="62073E20" w14:textId="77777777" w:rsidR="00760835" w:rsidRPr="00FA688B" w:rsidRDefault="00760835" w:rsidP="00FA688B">
            <w:pPr>
              <w:jc w:val="both"/>
              <w:rPr>
                <w:rFonts w:ascii="IBM Plex Sans" w:hAnsi="IBM Plex Sans" w:cs="Arial"/>
                <w:sz w:val="20"/>
                <w:szCs w:val="20"/>
              </w:rPr>
            </w:pPr>
          </w:p>
        </w:tc>
        <w:tc>
          <w:tcPr>
            <w:tcW w:w="5522" w:type="dxa"/>
          </w:tcPr>
          <w:p w14:paraId="4AE73ECC" w14:textId="29181A1B" w:rsidR="00760835" w:rsidRPr="00FA688B" w:rsidRDefault="00760835" w:rsidP="00FA688B">
            <w:pPr>
              <w:jc w:val="both"/>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Niñez</w:t>
            </w:r>
          </w:p>
        </w:tc>
      </w:tr>
      <w:tr w:rsidR="00760835" w14:paraId="5842964B" w14:textId="77777777" w:rsidTr="00760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002060"/>
          </w:tcPr>
          <w:p w14:paraId="222ACA81" w14:textId="77777777" w:rsidR="00760835" w:rsidRPr="00FA688B" w:rsidRDefault="00760835" w:rsidP="00FA688B">
            <w:pPr>
              <w:jc w:val="both"/>
              <w:rPr>
                <w:rFonts w:ascii="IBM Plex Sans" w:hAnsi="IBM Plex Sans" w:cs="Arial"/>
                <w:sz w:val="20"/>
                <w:szCs w:val="20"/>
              </w:rPr>
            </w:pPr>
          </w:p>
        </w:tc>
        <w:tc>
          <w:tcPr>
            <w:tcW w:w="5522" w:type="dxa"/>
          </w:tcPr>
          <w:p w14:paraId="5EA76E62" w14:textId="2D38A0F7" w:rsidR="00760835" w:rsidRPr="00FA688B" w:rsidRDefault="00760835" w:rsidP="00FA688B">
            <w:pPr>
              <w:jc w:val="both"/>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Pacientes de la CCSS</w:t>
            </w:r>
          </w:p>
        </w:tc>
      </w:tr>
      <w:tr w:rsidR="00760835" w14:paraId="021B312F" w14:textId="77777777" w:rsidTr="00760835">
        <w:tc>
          <w:tcPr>
            <w:cnfStyle w:val="001000000000" w:firstRow="0" w:lastRow="0" w:firstColumn="1" w:lastColumn="0" w:oddVBand="0" w:evenVBand="0" w:oddHBand="0" w:evenHBand="0" w:firstRowFirstColumn="0" w:firstRowLastColumn="0" w:lastRowFirstColumn="0" w:lastRowLastColumn="0"/>
            <w:tcW w:w="2972" w:type="dxa"/>
            <w:vMerge/>
            <w:shd w:val="clear" w:color="auto" w:fill="002060"/>
          </w:tcPr>
          <w:p w14:paraId="4D9A7877" w14:textId="77777777" w:rsidR="00760835" w:rsidRPr="00FA688B" w:rsidRDefault="00760835" w:rsidP="00FA688B">
            <w:pPr>
              <w:jc w:val="both"/>
              <w:rPr>
                <w:rFonts w:ascii="IBM Plex Sans" w:hAnsi="IBM Plex Sans" w:cs="Arial"/>
                <w:sz w:val="20"/>
                <w:szCs w:val="20"/>
              </w:rPr>
            </w:pPr>
          </w:p>
        </w:tc>
        <w:tc>
          <w:tcPr>
            <w:tcW w:w="5522" w:type="dxa"/>
          </w:tcPr>
          <w:p w14:paraId="3A0C3A09" w14:textId="1B0FA990" w:rsidR="00760835" w:rsidRPr="00FA688B" w:rsidRDefault="00760835" w:rsidP="00FA688B">
            <w:pPr>
              <w:jc w:val="both"/>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Pensionados(as)</w:t>
            </w:r>
          </w:p>
        </w:tc>
      </w:tr>
      <w:tr w:rsidR="00760835" w14:paraId="4304704C" w14:textId="77777777" w:rsidTr="00760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002060"/>
          </w:tcPr>
          <w:p w14:paraId="35DE8096" w14:textId="77777777" w:rsidR="00760835" w:rsidRPr="00FA688B" w:rsidRDefault="00760835" w:rsidP="00FA688B">
            <w:pPr>
              <w:jc w:val="both"/>
              <w:rPr>
                <w:rFonts w:ascii="IBM Plex Sans" w:hAnsi="IBM Plex Sans" w:cs="Arial"/>
                <w:sz w:val="20"/>
                <w:szCs w:val="20"/>
              </w:rPr>
            </w:pPr>
          </w:p>
        </w:tc>
        <w:tc>
          <w:tcPr>
            <w:tcW w:w="5522" w:type="dxa"/>
          </w:tcPr>
          <w:p w14:paraId="33F7C319" w14:textId="6F3A6764" w:rsidR="00760835" w:rsidRPr="00FA688B" w:rsidRDefault="00760835" w:rsidP="00FA688B">
            <w:pPr>
              <w:jc w:val="both"/>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Personas beneficiarias de programas sociales</w:t>
            </w:r>
          </w:p>
        </w:tc>
      </w:tr>
      <w:tr w:rsidR="00760835" w14:paraId="4622DF51" w14:textId="77777777" w:rsidTr="00760835">
        <w:tc>
          <w:tcPr>
            <w:cnfStyle w:val="001000000000" w:firstRow="0" w:lastRow="0" w:firstColumn="1" w:lastColumn="0" w:oddVBand="0" w:evenVBand="0" w:oddHBand="0" w:evenHBand="0" w:firstRowFirstColumn="0" w:firstRowLastColumn="0" w:lastRowFirstColumn="0" w:lastRowLastColumn="0"/>
            <w:tcW w:w="2972" w:type="dxa"/>
            <w:vMerge/>
            <w:shd w:val="clear" w:color="auto" w:fill="002060"/>
          </w:tcPr>
          <w:p w14:paraId="4270F468" w14:textId="77777777" w:rsidR="00760835" w:rsidRPr="00FA688B" w:rsidRDefault="00760835" w:rsidP="00FA688B">
            <w:pPr>
              <w:jc w:val="both"/>
              <w:rPr>
                <w:rFonts w:ascii="IBM Plex Sans" w:hAnsi="IBM Plex Sans" w:cs="Arial"/>
                <w:sz w:val="20"/>
                <w:szCs w:val="20"/>
              </w:rPr>
            </w:pPr>
          </w:p>
        </w:tc>
        <w:tc>
          <w:tcPr>
            <w:tcW w:w="5522" w:type="dxa"/>
          </w:tcPr>
          <w:p w14:paraId="025D08AF" w14:textId="7E5BE6C8" w:rsidR="00760835" w:rsidRPr="00FA688B" w:rsidRDefault="00760835" w:rsidP="00FA688B">
            <w:pPr>
              <w:jc w:val="both"/>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Personas con discapacidad</w:t>
            </w:r>
          </w:p>
        </w:tc>
      </w:tr>
      <w:tr w:rsidR="00760835" w14:paraId="289A21D9" w14:textId="77777777" w:rsidTr="00760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002060"/>
          </w:tcPr>
          <w:p w14:paraId="7C3B6D45" w14:textId="77777777" w:rsidR="00760835" w:rsidRPr="00FA688B" w:rsidRDefault="00760835" w:rsidP="00FA688B">
            <w:pPr>
              <w:jc w:val="both"/>
              <w:rPr>
                <w:rFonts w:ascii="IBM Plex Sans" w:hAnsi="IBM Plex Sans" w:cs="Arial"/>
                <w:sz w:val="20"/>
                <w:szCs w:val="20"/>
              </w:rPr>
            </w:pPr>
          </w:p>
        </w:tc>
        <w:tc>
          <w:tcPr>
            <w:tcW w:w="5522" w:type="dxa"/>
          </w:tcPr>
          <w:p w14:paraId="0EDBFD89" w14:textId="1DD22D1E" w:rsidR="00760835" w:rsidRPr="00FA688B" w:rsidRDefault="00760835" w:rsidP="00FA688B">
            <w:pPr>
              <w:jc w:val="both"/>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Personas con factores de riesgo ante el COVID-19 (por ejemplo:</w:t>
            </w:r>
            <w:r w:rsidR="00E411F0" w:rsidRPr="00FA688B">
              <w:rPr>
                <w:rFonts w:ascii="IBM Plex Sans" w:hAnsi="IBM Plex Sans" w:cs="Arial"/>
                <w:sz w:val="20"/>
                <w:szCs w:val="20"/>
              </w:rPr>
              <w:t xml:space="preserve"> diabéticos, cardiópatas, hipertensos, personas con padecimientos pulmonares, cáncer o alguna enfermedad que comprometa el sistema inmune</w:t>
            </w:r>
            <w:r w:rsidRPr="00FA688B">
              <w:rPr>
                <w:rFonts w:ascii="IBM Plex Sans" w:hAnsi="IBM Plex Sans" w:cs="Arial"/>
                <w:sz w:val="20"/>
                <w:szCs w:val="20"/>
              </w:rPr>
              <w:t>)</w:t>
            </w:r>
            <w:r w:rsidR="00E411F0" w:rsidRPr="00FA688B">
              <w:rPr>
                <w:rFonts w:ascii="IBM Plex Sans" w:hAnsi="IBM Plex Sans" w:cs="Arial"/>
                <w:sz w:val="20"/>
                <w:szCs w:val="20"/>
              </w:rPr>
              <w:t>.</w:t>
            </w:r>
          </w:p>
        </w:tc>
      </w:tr>
      <w:tr w:rsidR="00760835" w14:paraId="78ED3E6C" w14:textId="77777777" w:rsidTr="00760835">
        <w:tc>
          <w:tcPr>
            <w:cnfStyle w:val="001000000000" w:firstRow="0" w:lastRow="0" w:firstColumn="1" w:lastColumn="0" w:oddVBand="0" w:evenVBand="0" w:oddHBand="0" w:evenHBand="0" w:firstRowFirstColumn="0" w:firstRowLastColumn="0" w:lastRowFirstColumn="0" w:lastRowLastColumn="0"/>
            <w:tcW w:w="2972" w:type="dxa"/>
            <w:vMerge/>
            <w:shd w:val="clear" w:color="auto" w:fill="002060"/>
          </w:tcPr>
          <w:p w14:paraId="2DF33279" w14:textId="77777777" w:rsidR="00760835" w:rsidRPr="00FA688B" w:rsidRDefault="00760835" w:rsidP="00FA688B">
            <w:pPr>
              <w:jc w:val="both"/>
              <w:rPr>
                <w:rFonts w:ascii="IBM Plex Sans" w:hAnsi="IBM Plex Sans" w:cs="Arial"/>
                <w:sz w:val="20"/>
                <w:szCs w:val="20"/>
              </w:rPr>
            </w:pPr>
          </w:p>
        </w:tc>
        <w:tc>
          <w:tcPr>
            <w:tcW w:w="5522" w:type="dxa"/>
          </w:tcPr>
          <w:p w14:paraId="65E40DAB" w14:textId="692F88BD" w:rsidR="00760835" w:rsidRPr="00FA688B" w:rsidRDefault="00760835" w:rsidP="00FA688B">
            <w:pPr>
              <w:jc w:val="both"/>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Personas con COVID-19</w:t>
            </w:r>
          </w:p>
        </w:tc>
      </w:tr>
      <w:tr w:rsidR="00760835" w14:paraId="65A3B724" w14:textId="77777777" w:rsidTr="00760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002060"/>
          </w:tcPr>
          <w:p w14:paraId="48D69E5B" w14:textId="77777777" w:rsidR="00760835" w:rsidRPr="00FA688B" w:rsidRDefault="00760835" w:rsidP="00FA688B">
            <w:pPr>
              <w:jc w:val="both"/>
              <w:rPr>
                <w:rFonts w:ascii="IBM Plex Sans" w:hAnsi="IBM Plex Sans" w:cs="Arial"/>
                <w:sz w:val="20"/>
                <w:szCs w:val="20"/>
              </w:rPr>
            </w:pPr>
          </w:p>
        </w:tc>
        <w:tc>
          <w:tcPr>
            <w:tcW w:w="5522" w:type="dxa"/>
          </w:tcPr>
          <w:p w14:paraId="6C85D75B" w14:textId="023311CA" w:rsidR="00760835" w:rsidRPr="00FA688B" w:rsidRDefault="00760835" w:rsidP="00FA688B">
            <w:pPr>
              <w:jc w:val="both"/>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Personas en condición de pobreza y situación de calle</w:t>
            </w:r>
          </w:p>
        </w:tc>
      </w:tr>
      <w:tr w:rsidR="00760835" w14:paraId="2F24BA79" w14:textId="77777777" w:rsidTr="00760835">
        <w:tc>
          <w:tcPr>
            <w:cnfStyle w:val="001000000000" w:firstRow="0" w:lastRow="0" w:firstColumn="1" w:lastColumn="0" w:oddVBand="0" w:evenVBand="0" w:oddHBand="0" w:evenHBand="0" w:firstRowFirstColumn="0" w:firstRowLastColumn="0" w:lastRowFirstColumn="0" w:lastRowLastColumn="0"/>
            <w:tcW w:w="2972" w:type="dxa"/>
            <w:vMerge/>
            <w:shd w:val="clear" w:color="auto" w:fill="002060"/>
          </w:tcPr>
          <w:p w14:paraId="684DF0EE" w14:textId="77777777" w:rsidR="00760835" w:rsidRPr="00FA688B" w:rsidRDefault="00760835" w:rsidP="00FA688B">
            <w:pPr>
              <w:jc w:val="both"/>
              <w:rPr>
                <w:rFonts w:ascii="IBM Plex Sans" w:hAnsi="IBM Plex Sans" w:cs="Arial"/>
                <w:sz w:val="20"/>
                <w:szCs w:val="20"/>
              </w:rPr>
            </w:pPr>
          </w:p>
        </w:tc>
        <w:tc>
          <w:tcPr>
            <w:tcW w:w="5522" w:type="dxa"/>
          </w:tcPr>
          <w:p w14:paraId="1120B74D" w14:textId="0022B8F6" w:rsidR="00760835" w:rsidRPr="00FA688B" w:rsidRDefault="00760835" w:rsidP="00FA688B">
            <w:pPr>
              <w:jc w:val="both"/>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Población de zonas rurales</w:t>
            </w:r>
          </w:p>
        </w:tc>
      </w:tr>
      <w:tr w:rsidR="00760835" w14:paraId="7B57E4CB" w14:textId="77777777" w:rsidTr="00760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002060"/>
          </w:tcPr>
          <w:p w14:paraId="650B148E" w14:textId="77777777" w:rsidR="00760835" w:rsidRPr="00FA688B" w:rsidRDefault="00760835" w:rsidP="00FA688B">
            <w:pPr>
              <w:jc w:val="both"/>
              <w:rPr>
                <w:rFonts w:ascii="IBM Plex Sans" w:hAnsi="IBM Plex Sans" w:cs="Arial"/>
                <w:sz w:val="20"/>
                <w:szCs w:val="20"/>
              </w:rPr>
            </w:pPr>
          </w:p>
        </w:tc>
        <w:tc>
          <w:tcPr>
            <w:tcW w:w="5522" w:type="dxa"/>
          </w:tcPr>
          <w:p w14:paraId="7520833E" w14:textId="26B8FFFD" w:rsidR="00760835" w:rsidRPr="00FA688B" w:rsidRDefault="00760835" w:rsidP="00FA688B">
            <w:pPr>
              <w:jc w:val="both"/>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Población de zonas urbanas</w:t>
            </w:r>
          </w:p>
        </w:tc>
      </w:tr>
      <w:tr w:rsidR="00760835" w14:paraId="54934AA5" w14:textId="77777777" w:rsidTr="00760835">
        <w:tc>
          <w:tcPr>
            <w:cnfStyle w:val="001000000000" w:firstRow="0" w:lastRow="0" w:firstColumn="1" w:lastColumn="0" w:oddVBand="0" w:evenVBand="0" w:oddHBand="0" w:evenHBand="0" w:firstRowFirstColumn="0" w:firstRowLastColumn="0" w:lastRowFirstColumn="0" w:lastRowLastColumn="0"/>
            <w:tcW w:w="2972" w:type="dxa"/>
            <w:vMerge/>
            <w:shd w:val="clear" w:color="auto" w:fill="002060"/>
          </w:tcPr>
          <w:p w14:paraId="2B44C965" w14:textId="77777777" w:rsidR="00760835" w:rsidRPr="00FA688B" w:rsidRDefault="00760835" w:rsidP="00FA688B">
            <w:pPr>
              <w:jc w:val="both"/>
              <w:rPr>
                <w:rFonts w:ascii="IBM Plex Sans" w:hAnsi="IBM Plex Sans" w:cs="Arial"/>
                <w:sz w:val="20"/>
                <w:szCs w:val="20"/>
              </w:rPr>
            </w:pPr>
          </w:p>
        </w:tc>
        <w:tc>
          <w:tcPr>
            <w:tcW w:w="5522" w:type="dxa"/>
          </w:tcPr>
          <w:p w14:paraId="08EF04AE" w14:textId="1865E7BD" w:rsidR="00760835" w:rsidRPr="00FA688B" w:rsidRDefault="00760835" w:rsidP="00FA688B">
            <w:pPr>
              <w:jc w:val="both"/>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Población indígena</w:t>
            </w:r>
          </w:p>
        </w:tc>
      </w:tr>
      <w:tr w:rsidR="00760835" w14:paraId="0D4323D8" w14:textId="77777777" w:rsidTr="00760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002060"/>
          </w:tcPr>
          <w:p w14:paraId="41CD5587" w14:textId="77777777" w:rsidR="00760835" w:rsidRPr="00FA688B" w:rsidRDefault="00760835" w:rsidP="00FA688B">
            <w:pPr>
              <w:jc w:val="both"/>
              <w:rPr>
                <w:rFonts w:ascii="IBM Plex Sans" w:hAnsi="IBM Plex Sans" w:cs="Arial"/>
                <w:sz w:val="20"/>
                <w:szCs w:val="20"/>
              </w:rPr>
            </w:pPr>
          </w:p>
        </w:tc>
        <w:tc>
          <w:tcPr>
            <w:tcW w:w="5522" w:type="dxa"/>
          </w:tcPr>
          <w:p w14:paraId="7D56FD5F" w14:textId="371EDD45" w:rsidR="00760835" w:rsidRPr="00FA688B" w:rsidRDefault="00760835" w:rsidP="00FA688B">
            <w:pPr>
              <w:jc w:val="both"/>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Privados de libertad</w:t>
            </w:r>
          </w:p>
        </w:tc>
      </w:tr>
      <w:tr w:rsidR="00760835" w14:paraId="60759C3A" w14:textId="77777777" w:rsidTr="00760835">
        <w:tc>
          <w:tcPr>
            <w:cnfStyle w:val="001000000000" w:firstRow="0" w:lastRow="0" w:firstColumn="1" w:lastColumn="0" w:oddVBand="0" w:evenVBand="0" w:oddHBand="0" w:evenHBand="0" w:firstRowFirstColumn="0" w:firstRowLastColumn="0" w:lastRowFirstColumn="0" w:lastRowLastColumn="0"/>
            <w:tcW w:w="2972" w:type="dxa"/>
            <w:vMerge/>
            <w:shd w:val="clear" w:color="auto" w:fill="002060"/>
          </w:tcPr>
          <w:p w14:paraId="31A38810" w14:textId="77777777" w:rsidR="00760835" w:rsidRPr="00FA688B" w:rsidRDefault="00760835" w:rsidP="00FA688B">
            <w:pPr>
              <w:jc w:val="both"/>
              <w:rPr>
                <w:rFonts w:ascii="IBM Plex Sans" w:hAnsi="IBM Plex Sans" w:cs="Arial"/>
                <w:sz w:val="20"/>
                <w:szCs w:val="20"/>
              </w:rPr>
            </w:pPr>
          </w:p>
        </w:tc>
        <w:tc>
          <w:tcPr>
            <w:tcW w:w="5522" w:type="dxa"/>
          </w:tcPr>
          <w:p w14:paraId="69A7ABC5" w14:textId="5CD932D5" w:rsidR="00760835" w:rsidRPr="00FA688B" w:rsidRDefault="00760835" w:rsidP="00FA688B">
            <w:pPr>
              <w:jc w:val="both"/>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Turistas y residentes</w:t>
            </w:r>
          </w:p>
        </w:tc>
      </w:tr>
      <w:tr w:rsidR="00760835" w14:paraId="3396A455" w14:textId="77777777" w:rsidTr="00760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002060"/>
          </w:tcPr>
          <w:p w14:paraId="1AF739FC" w14:textId="77777777" w:rsidR="00760835" w:rsidRPr="00FA688B" w:rsidRDefault="00760835" w:rsidP="00FA688B">
            <w:pPr>
              <w:jc w:val="both"/>
              <w:rPr>
                <w:rFonts w:ascii="IBM Plex Sans" w:hAnsi="IBM Plex Sans" w:cs="Arial"/>
                <w:sz w:val="20"/>
                <w:szCs w:val="20"/>
              </w:rPr>
            </w:pPr>
          </w:p>
        </w:tc>
        <w:tc>
          <w:tcPr>
            <w:tcW w:w="5522" w:type="dxa"/>
          </w:tcPr>
          <w:p w14:paraId="19783504" w14:textId="2533F1B5" w:rsidR="00760835" w:rsidRPr="00FA688B" w:rsidRDefault="00760835" w:rsidP="00FA688B">
            <w:pPr>
              <w:jc w:val="both"/>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Usuarios y clientes de una institución (por ejemplo: usuarios de un servicio público como electricidad del ICE o agua del AyA)</w:t>
            </w:r>
          </w:p>
        </w:tc>
      </w:tr>
      <w:tr w:rsidR="00A34B39" w14:paraId="744B9DDF" w14:textId="77777777" w:rsidTr="00760835">
        <w:tc>
          <w:tcPr>
            <w:cnfStyle w:val="001000000000" w:firstRow="0" w:lastRow="0" w:firstColumn="1" w:lastColumn="0" w:oddVBand="0" w:evenVBand="0" w:oddHBand="0" w:evenHBand="0" w:firstRowFirstColumn="0" w:firstRowLastColumn="0" w:lastRowFirstColumn="0" w:lastRowLastColumn="0"/>
            <w:tcW w:w="2972" w:type="dxa"/>
            <w:shd w:val="clear" w:color="auto" w:fill="002060"/>
          </w:tcPr>
          <w:p w14:paraId="352B2E77" w14:textId="40272283" w:rsidR="00A34B39" w:rsidRPr="00FA688B" w:rsidRDefault="00161F1D" w:rsidP="00FA688B">
            <w:pPr>
              <w:jc w:val="both"/>
              <w:rPr>
                <w:rFonts w:ascii="IBM Plex Sans" w:hAnsi="IBM Plex Sans" w:cs="Arial"/>
                <w:sz w:val="20"/>
                <w:szCs w:val="20"/>
              </w:rPr>
            </w:pPr>
            <w:r w:rsidRPr="00FA688B">
              <w:rPr>
                <w:rFonts w:ascii="IBM Plex Sans" w:hAnsi="IBM Plex Sans" w:cs="Arial"/>
                <w:sz w:val="20"/>
                <w:szCs w:val="20"/>
              </w:rPr>
              <w:lastRenderedPageBreak/>
              <w:t>NI</w:t>
            </w:r>
          </w:p>
        </w:tc>
        <w:tc>
          <w:tcPr>
            <w:tcW w:w="5522" w:type="dxa"/>
          </w:tcPr>
          <w:p w14:paraId="54A2600C" w14:textId="1EFCE081" w:rsidR="00A34B39" w:rsidRPr="00FA688B" w:rsidRDefault="00161F1D" w:rsidP="00FA688B">
            <w:pPr>
              <w:jc w:val="both"/>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NI (</w:t>
            </w:r>
            <w:r w:rsidR="00765816" w:rsidRPr="00FA688B">
              <w:rPr>
                <w:rFonts w:ascii="IBM Plex Sans" w:hAnsi="IBM Plex Sans" w:cs="Arial"/>
                <w:sz w:val="20"/>
                <w:szCs w:val="20"/>
              </w:rPr>
              <w:t>cuando el documento no indica explícitamente el tipo de población)</w:t>
            </w:r>
          </w:p>
        </w:tc>
      </w:tr>
    </w:tbl>
    <w:p w14:paraId="6BCB5250" w14:textId="3AF911A2" w:rsidR="001D698D" w:rsidRPr="00FA688B" w:rsidRDefault="00760835" w:rsidP="00FA688B">
      <w:pPr>
        <w:spacing w:line="240" w:lineRule="auto"/>
        <w:jc w:val="both"/>
        <w:rPr>
          <w:rFonts w:ascii="IBM Plex Sans Light" w:hAnsi="IBM Plex Sans Light" w:cs="Arial"/>
          <w:sz w:val="18"/>
          <w:szCs w:val="18"/>
        </w:rPr>
      </w:pPr>
      <w:r w:rsidRPr="00FA688B">
        <w:rPr>
          <w:rFonts w:ascii="IBM Plex Sans Light" w:hAnsi="IBM Plex Sans Light" w:cs="Arial"/>
          <w:sz w:val="18"/>
          <w:szCs w:val="18"/>
        </w:rPr>
        <w:t>Fuente: Elaboración propia.</w:t>
      </w:r>
    </w:p>
    <w:p w14:paraId="5D9D96A8" w14:textId="77777777" w:rsidR="00760835" w:rsidRPr="00FA688B" w:rsidRDefault="00760835" w:rsidP="00FA688B">
      <w:pPr>
        <w:spacing w:line="240" w:lineRule="auto"/>
        <w:jc w:val="both"/>
        <w:rPr>
          <w:rFonts w:ascii="IBM Plex Sans" w:hAnsi="IBM Plex Sans" w:cs="Arial"/>
        </w:rPr>
      </w:pPr>
    </w:p>
    <w:p w14:paraId="7172F263" w14:textId="77777777" w:rsidR="00FA688B" w:rsidRPr="00FA688B" w:rsidRDefault="00A87E40" w:rsidP="00FA688B">
      <w:pPr>
        <w:pStyle w:val="Ttulo2"/>
        <w:rPr>
          <w:rFonts w:ascii="IBM Plex Sans" w:hAnsi="IBM Plex Sans"/>
        </w:rPr>
      </w:pPr>
      <w:bookmarkStart w:id="21" w:name="_Toc86615291"/>
      <w:r w:rsidRPr="00FA688B">
        <w:rPr>
          <w:rFonts w:ascii="IBM Plex Sans" w:hAnsi="IBM Plex Sans"/>
        </w:rPr>
        <w:t>1</w:t>
      </w:r>
      <w:r w:rsidR="00671C1D" w:rsidRPr="00FA688B">
        <w:rPr>
          <w:rFonts w:ascii="IBM Plex Sans" w:hAnsi="IBM Plex Sans"/>
        </w:rPr>
        <w:t>5</w:t>
      </w:r>
      <w:r w:rsidRPr="00FA688B">
        <w:rPr>
          <w:rFonts w:ascii="IBM Plex Sans" w:hAnsi="IBM Plex Sans"/>
        </w:rPr>
        <w:t>. Tema (tema) y 1</w:t>
      </w:r>
      <w:r w:rsidR="00671C1D" w:rsidRPr="00FA688B">
        <w:rPr>
          <w:rFonts w:ascii="IBM Plex Sans" w:hAnsi="IBM Plex Sans"/>
        </w:rPr>
        <w:t>6</w:t>
      </w:r>
      <w:r w:rsidRPr="00FA688B">
        <w:rPr>
          <w:rFonts w:ascii="IBM Plex Sans" w:hAnsi="IBM Plex Sans"/>
        </w:rPr>
        <w:t>. subtema (subtema)</w:t>
      </w:r>
      <w:bookmarkEnd w:id="21"/>
    </w:p>
    <w:p w14:paraId="7221BA13" w14:textId="753E4892" w:rsidR="00A87E40" w:rsidRPr="00FA688B" w:rsidRDefault="00A87E40" w:rsidP="00FA688B">
      <w:pPr>
        <w:spacing w:line="240" w:lineRule="auto"/>
        <w:jc w:val="both"/>
        <w:rPr>
          <w:rFonts w:ascii="IBM Plex Sans" w:hAnsi="IBM Plex Sans" w:cs="Arial"/>
        </w:rPr>
      </w:pPr>
      <w:r w:rsidRPr="00FA688B">
        <w:rPr>
          <w:rFonts w:ascii="IBM Plex Sans" w:hAnsi="IBM Plex Sans" w:cs="Arial"/>
        </w:rPr>
        <w:t xml:space="preserve">Se deberá señalar </w:t>
      </w:r>
      <w:r w:rsidR="00B17685" w:rsidRPr="00FA688B">
        <w:rPr>
          <w:rFonts w:ascii="IBM Plex Sans" w:hAnsi="IBM Plex Sans" w:cs="Arial"/>
        </w:rPr>
        <w:t>el código numérico d</w:t>
      </w:r>
      <w:r w:rsidRPr="00FA688B">
        <w:rPr>
          <w:rFonts w:ascii="IBM Plex Sans" w:hAnsi="IBM Plex Sans" w:cs="Arial"/>
        </w:rPr>
        <w:t>el tema y subtema a partir de las siguientes categorías</w:t>
      </w:r>
      <w:r w:rsidR="009D77C2" w:rsidRPr="00FA688B">
        <w:rPr>
          <w:rFonts w:ascii="IBM Plex Sans" w:hAnsi="IBM Plex Sans" w:cs="Arial"/>
        </w:rPr>
        <w:t xml:space="preserve"> (ver cuadro </w:t>
      </w:r>
      <w:r w:rsidR="00D87D88" w:rsidRPr="00FA688B">
        <w:rPr>
          <w:rFonts w:ascii="IBM Plex Sans" w:hAnsi="IBM Plex Sans" w:cs="Arial"/>
        </w:rPr>
        <w:t>8</w:t>
      </w:r>
      <w:r w:rsidR="009D77C2" w:rsidRPr="00FA688B">
        <w:rPr>
          <w:rFonts w:ascii="IBM Plex Sans" w:hAnsi="IBM Plex Sans" w:cs="Arial"/>
        </w:rPr>
        <w:t xml:space="preserve">). </w:t>
      </w:r>
      <w:r w:rsidRPr="00FA688B">
        <w:rPr>
          <w:rFonts w:ascii="IBM Plex Sans" w:hAnsi="IBM Plex Sans" w:cs="Arial"/>
        </w:rPr>
        <w:t>En caso de choques o conflictos de categorías se deberá hacer la valoración según el tema y subtema con incidencia directa señalado en la medida. Por ejemplo: la medida sobre el cierre de centros educativos corresponde al tema “Sociales” y al subtema “Educación”.</w:t>
      </w:r>
    </w:p>
    <w:p w14:paraId="7E657106" w14:textId="79B78798" w:rsidR="009D77C2" w:rsidRPr="009D77C2" w:rsidRDefault="009D77C2" w:rsidP="00FA688B">
      <w:pPr>
        <w:spacing w:after="0" w:line="360" w:lineRule="auto"/>
        <w:jc w:val="both"/>
        <w:rPr>
          <w:rFonts w:ascii="Arial" w:hAnsi="Arial" w:cs="Arial"/>
          <w:b/>
          <w:bCs/>
        </w:rPr>
      </w:pPr>
      <w:r w:rsidRPr="009D77C2">
        <w:rPr>
          <w:rFonts w:ascii="Arial" w:hAnsi="Arial" w:cs="Arial"/>
          <w:b/>
          <w:bCs/>
        </w:rPr>
        <w:t xml:space="preserve">Cuadro </w:t>
      </w:r>
      <w:r w:rsidR="00D87D88">
        <w:rPr>
          <w:rFonts w:ascii="Arial" w:hAnsi="Arial" w:cs="Arial"/>
          <w:b/>
          <w:bCs/>
        </w:rPr>
        <w:t>8</w:t>
      </w:r>
      <w:r w:rsidRPr="009D77C2">
        <w:rPr>
          <w:rFonts w:ascii="Arial" w:hAnsi="Arial" w:cs="Arial"/>
          <w:b/>
          <w:bCs/>
        </w:rPr>
        <w:t>. Tema y subtema.</w:t>
      </w:r>
    </w:p>
    <w:tbl>
      <w:tblPr>
        <w:tblStyle w:val="Tablaconcuadrcula5oscura-nfasis1"/>
        <w:tblW w:w="0" w:type="auto"/>
        <w:tblLook w:val="04A0" w:firstRow="1" w:lastRow="0" w:firstColumn="1" w:lastColumn="0" w:noHBand="0" w:noVBand="1"/>
      </w:tblPr>
      <w:tblGrid>
        <w:gridCol w:w="1129"/>
        <w:gridCol w:w="1276"/>
        <w:gridCol w:w="6089"/>
      </w:tblGrid>
      <w:tr w:rsidR="0024424C" w14:paraId="3A98A9DD" w14:textId="77777777" w:rsidTr="00B176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002060"/>
            <w:vAlign w:val="center"/>
          </w:tcPr>
          <w:p w14:paraId="3643DECD" w14:textId="680E6E59" w:rsidR="0024424C" w:rsidRPr="00FA688B" w:rsidRDefault="0024424C" w:rsidP="00FA688B">
            <w:pPr>
              <w:rPr>
                <w:rFonts w:ascii="IBM Plex Sans" w:hAnsi="IBM Plex Sans" w:cs="Arial"/>
                <w:sz w:val="20"/>
                <w:szCs w:val="20"/>
              </w:rPr>
            </w:pPr>
            <w:r w:rsidRPr="00FA688B">
              <w:rPr>
                <w:rFonts w:ascii="IBM Plex Sans" w:hAnsi="IBM Plex Sans" w:cs="Arial"/>
                <w:sz w:val="20"/>
                <w:szCs w:val="20"/>
              </w:rPr>
              <w:t>Código tema</w:t>
            </w:r>
          </w:p>
        </w:tc>
        <w:tc>
          <w:tcPr>
            <w:tcW w:w="1276" w:type="dxa"/>
            <w:shd w:val="clear" w:color="auto" w:fill="002060"/>
            <w:vAlign w:val="center"/>
          </w:tcPr>
          <w:p w14:paraId="64C723A1" w14:textId="75D3CED2" w:rsidR="0024424C" w:rsidRPr="00FA688B" w:rsidRDefault="0024424C" w:rsidP="00FA688B">
            <w:pPr>
              <w:cnfStyle w:val="100000000000" w:firstRow="1"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Código subtema</w:t>
            </w:r>
          </w:p>
        </w:tc>
        <w:tc>
          <w:tcPr>
            <w:tcW w:w="6089" w:type="dxa"/>
            <w:shd w:val="clear" w:color="auto" w:fill="002060"/>
            <w:vAlign w:val="center"/>
          </w:tcPr>
          <w:p w14:paraId="46AECA6E" w14:textId="04E09DB4" w:rsidR="0024424C" w:rsidRPr="00FA688B" w:rsidRDefault="0024424C" w:rsidP="00FA688B">
            <w:pPr>
              <w:cnfStyle w:val="100000000000" w:firstRow="1"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Tema y subtema</w:t>
            </w:r>
          </w:p>
        </w:tc>
      </w:tr>
      <w:tr w:rsidR="0024424C" w14:paraId="30395D6E" w14:textId="77777777" w:rsidTr="00B17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002060"/>
            <w:vAlign w:val="center"/>
          </w:tcPr>
          <w:p w14:paraId="0DB95D34" w14:textId="5C0F4549" w:rsidR="0024424C" w:rsidRPr="00FA688B" w:rsidRDefault="0024424C" w:rsidP="00FA688B">
            <w:pPr>
              <w:rPr>
                <w:rFonts w:ascii="IBM Plex Sans" w:hAnsi="IBM Plex Sans" w:cs="Arial"/>
                <w:sz w:val="20"/>
                <w:szCs w:val="20"/>
              </w:rPr>
            </w:pPr>
            <w:r w:rsidRPr="00FA688B">
              <w:rPr>
                <w:rFonts w:ascii="IBM Plex Sans" w:hAnsi="IBM Plex Sans" w:cs="Arial"/>
                <w:sz w:val="20"/>
                <w:szCs w:val="20"/>
              </w:rPr>
              <w:t>1</w:t>
            </w:r>
          </w:p>
        </w:tc>
        <w:tc>
          <w:tcPr>
            <w:tcW w:w="1276" w:type="dxa"/>
            <w:shd w:val="clear" w:color="auto" w:fill="002060"/>
            <w:vAlign w:val="center"/>
          </w:tcPr>
          <w:p w14:paraId="1B39462C" w14:textId="77777777" w:rsidR="0024424C" w:rsidRPr="00FA688B" w:rsidRDefault="0024424C" w:rsidP="00FA688B">
            <w:p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p>
        </w:tc>
        <w:tc>
          <w:tcPr>
            <w:tcW w:w="6089" w:type="dxa"/>
          </w:tcPr>
          <w:p w14:paraId="7F45B4E3" w14:textId="7244FF9E" w:rsidR="0024424C" w:rsidRPr="00FA688B" w:rsidRDefault="0024424C" w:rsidP="00FA688B">
            <w:pPr>
              <w:cnfStyle w:val="000000100000" w:firstRow="0" w:lastRow="0" w:firstColumn="0" w:lastColumn="0" w:oddVBand="0" w:evenVBand="0" w:oddHBand="1" w:evenHBand="0" w:firstRowFirstColumn="0" w:firstRowLastColumn="0" w:lastRowFirstColumn="0" w:lastRowLastColumn="0"/>
              <w:rPr>
                <w:rFonts w:ascii="IBM Plex Sans" w:hAnsi="IBM Plex Sans" w:cs="Arial"/>
                <w:b/>
                <w:bCs/>
                <w:sz w:val="20"/>
                <w:szCs w:val="20"/>
                <w:u w:val="single"/>
              </w:rPr>
            </w:pPr>
            <w:r w:rsidRPr="00FA688B">
              <w:rPr>
                <w:rFonts w:ascii="IBM Plex Sans" w:hAnsi="IBM Plex Sans" w:cs="Arial"/>
                <w:b/>
                <w:bCs/>
                <w:sz w:val="20"/>
                <w:szCs w:val="20"/>
                <w:u w:val="single"/>
              </w:rPr>
              <w:t>Sociales</w:t>
            </w:r>
          </w:p>
        </w:tc>
      </w:tr>
      <w:tr w:rsidR="0024424C" w14:paraId="2C3DAE29" w14:textId="77777777" w:rsidTr="00B17685">
        <w:tc>
          <w:tcPr>
            <w:cnfStyle w:val="001000000000" w:firstRow="0" w:lastRow="0" w:firstColumn="1" w:lastColumn="0" w:oddVBand="0" w:evenVBand="0" w:oddHBand="0" w:evenHBand="0" w:firstRowFirstColumn="0" w:firstRowLastColumn="0" w:lastRowFirstColumn="0" w:lastRowLastColumn="0"/>
            <w:tcW w:w="1129" w:type="dxa"/>
            <w:shd w:val="clear" w:color="auto" w:fill="002060"/>
            <w:vAlign w:val="center"/>
          </w:tcPr>
          <w:p w14:paraId="23C20D45" w14:textId="77777777" w:rsidR="0024424C" w:rsidRPr="00FA688B" w:rsidRDefault="0024424C" w:rsidP="00FA688B">
            <w:pPr>
              <w:rPr>
                <w:rFonts w:ascii="IBM Plex Sans" w:hAnsi="IBM Plex Sans" w:cs="Arial"/>
                <w:sz w:val="20"/>
                <w:szCs w:val="20"/>
              </w:rPr>
            </w:pPr>
          </w:p>
        </w:tc>
        <w:tc>
          <w:tcPr>
            <w:tcW w:w="1276" w:type="dxa"/>
            <w:shd w:val="clear" w:color="auto" w:fill="002060"/>
            <w:vAlign w:val="center"/>
          </w:tcPr>
          <w:p w14:paraId="6683CE68" w14:textId="4BDCB57F" w:rsidR="0024424C" w:rsidRPr="00FA688B" w:rsidRDefault="00712E1B" w:rsidP="00FA688B">
            <w:p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2</w:t>
            </w:r>
          </w:p>
        </w:tc>
        <w:tc>
          <w:tcPr>
            <w:tcW w:w="6089" w:type="dxa"/>
          </w:tcPr>
          <w:p w14:paraId="69924A6A" w14:textId="1C0621CD" w:rsidR="0024424C" w:rsidRPr="00FA688B" w:rsidRDefault="00712E1B" w:rsidP="00FA688B">
            <w:p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Alimentación</w:t>
            </w:r>
          </w:p>
        </w:tc>
      </w:tr>
      <w:tr w:rsidR="0024424C" w14:paraId="4F89E737" w14:textId="77777777" w:rsidTr="00B17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002060"/>
            <w:vAlign w:val="center"/>
          </w:tcPr>
          <w:p w14:paraId="554F12B7" w14:textId="77777777" w:rsidR="0024424C" w:rsidRPr="00FA688B" w:rsidRDefault="0024424C" w:rsidP="00FA688B">
            <w:pPr>
              <w:rPr>
                <w:rFonts w:ascii="IBM Plex Sans" w:hAnsi="IBM Plex Sans" w:cs="Arial"/>
                <w:sz w:val="20"/>
                <w:szCs w:val="20"/>
              </w:rPr>
            </w:pPr>
          </w:p>
        </w:tc>
        <w:tc>
          <w:tcPr>
            <w:tcW w:w="1276" w:type="dxa"/>
            <w:shd w:val="clear" w:color="auto" w:fill="002060"/>
            <w:vAlign w:val="center"/>
          </w:tcPr>
          <w:p w14:paraId="558DDCAF" w14:textId="6D2BB16F" w:rsidR="0024424C" w:rsidRPr="00FA688B" w:rsidRDefault="00712E1B" w:rsidP="00FA688B">
            <w:p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3</w:t>
            </w:r>
          </w:p>
        </w:tc>
        <w:tc>
          <w:tcPr>
            <w:tcW w:w="6089" w:type="dxa"/>
          </w:tcPr>
          <w:p w14:paraId="3E57F61F" w14:textId="4097D666" w:rsidR="0024424C" w:rsidRPr="00FA688B" w:rsidRDefault="00712E1B" w:rsidP="00FA688B">
            <w:p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Cultura</w:t>
            </w:r>
          </w:p>
        </w:tc>
      </w:tr>
      <w:tr w:rsidR="0024424C" w14:paraId="26E8D9BE" w14:textId="77777777" w:rsidTr="00B17685">
        <w:tc>
          <w:tcPr>
            <w:cnfStyle w:val="001000000000" w:firstRow="0" w:lastRow="0" w:firstColumn="1" w:lastColumn="0" w:oddVBand="0" w:evenVBand="0" w:oddHBand="0" w:evenHBand="0" w:firstRowFirstColumn="0" w:firstRowLastColumn="0" w:lastRowFirstColumn="0" w:lastRowLastColumn="0"/>
            <w:tcW w:w="1129" w:type="dxa"/>
            <w:shd w:val="clear" w:color="auto" w:fill="002060"/>
            <w:vAlign w:val="center"/>
          </w:tcPr>
          <w:p w14:paraId="78780EA8" w14:textId="77777777" w:rsidR="0024424C" w:rsidRPr="00FA688B" w:rsidRDefault="0024424C" w:rsidP="00FA688B">
            <w:pPr>
              <w:rPr>
                <w:rFonts w:ascii="IBM Plex Sans" w:hAnsi="IBM Plex Sans" w:cs="Arial"/>
                <w:sz w:val="20"/>
                <w:szCs w:val="20"/>
              </w:rPr>
            </w:pPr>
          </w:p>
        </w:tc>
        <w:tc>
          <w:tcPr>
            <w:tcW w:w="1276" w:type="dxa"/>
            <w:shd w:val="clear" w:color="auto" w:fill="002060"/>
            <w:vAlign w:val="center"/>
          </w:tcPr>
          <w:p w14:paraId="30D72F87" w14:textId="4042E988" w:rsidR="0024424C" w:rsidRPr="00FA688B" w:rsidRDefault="00712E1B" w:rsidP="00FA688B">
            <w:p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4</w:t>
            </w:r>
          </w:p>
        </w:tc>
        <w:tc>
          <w:tcPr>
            <w:tcW w:w="6089" w:type="dxa"/>
          </w:tcPr>
          <w:p w14:paraId="4A47287B" w14:textId="0E1F1FC6" w:rsidR="0024424C" w:rsidRPr="00FA688B" w:rsidRDefault="00712E1B" w:rsidP="00FA688B">
            <w:p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Derechos humanos</w:t>
            </w:r>
          </w:p>
        </w:tc>
      </w:tr>
      <w:tr w:rsidR="0024424C" w14:paraId="2353F08F" w14:textId="77777777" w:rsidTr="00B17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002060"/>
            <w:vAlign w:val="center"/>
          </w:tcPr>
          <w:p w14:paraId="4DF60672" w14:textId="77777777" w:rsidR="0024424C" w:rsidRPr="00FA688B" w:rsidRDefault="0024424C" w:rsidP="00FA688B">
            <w:pPr>
              <w:rPr>
                <w:rFonts w:ascii="IBM Plex Sans" w:hAnsi="IBM Plex Sans" w:cs="Arial"/>
                <w:sz w:val="20"/>
                <w:szCs w:val="20"/>
              </w:rPr>
            </w:pPr>
          </w:p>
        </w:tc>
        <w:tc>
          <w:tcPr>
            <w:tcW w:w="1276" w:type="dxa"/>
            <w:shd w:val="clear" w:color="auto" w:fill="002060"/>
            <w:vAlign w:val="center"/>
          </w:tcPr>
          <w:p w14:paraId="726214A2" w14:textId="6205EA22" w:rsidR="0024424C" w:rsidRPr="00FA688B" w:rsidRDefault="00712E1B" w:rsidP="00FA688B">
            <w:p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5</w:t>
            </w:r>
          </w:p>
        </w:tc>
        <w:tc>
          <w:tcPr>
            <w:tcW w:w="6089" w:type="dxa"/>
          </w:tcPr>
          <w:p w14:paraId="37BE8729" w14:textId="1511DA1F" w:rsidR="0024424C" w:rsidRPr="00FA688B" w:rsidRDefault="00712E1B" w:rsidP="00FA688B">
            <w:p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Educación</w:t>
            </w:r>
          </w:p>
        </w:tc>
      </w:tr>
      <w:tr w:rsidR="0024424C" w14:paraId="4A403933" w14:textId="77777777" w:rsidTr="00B17685">
        <w:tc>
          <w:tcPr>
            <w:cnfStyle w:val="001000000000" w:firstRow="0" w:lastRow="0" w:firstColumn="1" w:lastColumn="0" w:oddVBand="0" w:evenVBand="0" w:oddHBand="0" w:evenHBand="0" w:firstRowFirstColumn="0" w:firstRowLastColumn="0" w:lastRowFirstColumn="0" w:lastRowLastColumn="0"/>
            <w:tcW w:w="1129" w:type="dxa"/>
            <w:shd w:val="clear" w:color="auto" w:fill="002060"/>
            <w:vAlign w:val="center"/>
          </w:tcPr>
          <w:p w14:paraId="66406E6C" w14:textId="77777777" w:rsidR="0024424C" w:rsidRPr="00FA688B" w:rsidRDefault="0024424C" w:rsidP="00FA688B">
            <w:pPr>
              <w:rPr>
                <w:rFonts w:ascii="IBM Plex Sans" w:hAnsi="IBM Plex Sans" w:cs="Arial"/>
                <w:sz w:val="20"/>
                <w:szCs w:val="20"/>
              </w:rPr>
            </w:pPr>
          </w:p>
        </w:tc>
        <w:tc>
          <w:tcPr>
            <w:tcW w:w="1276" w:type="dxa"/>
            <w:shd w:val="clear" w:color="auto" w:fill="002060"/>
            <w:vAlign w:val="center"/>
          </w:tcPr>
          <w:p w14:paraId="50D90238" w14:textId="17F4117E" w:rsidR="0024424C" w:rsidRPr="00FA688B" w:rsidRDefault="00712E1B" w:rsidP="00FA688B">
            <w:p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6</w:t>
            </w:r>
          </w:p>
        </w:tc>
        <w:tc>
          <w:tcPr>
            <w:tcW w:w="6089" w:type="dxa"/>
          </w:tcPr>
          <w:p w14:paraId="30370825" w14:textId="283A444A" w:rsidR="0024424C" w:rsidRPr="00FA688B" w:rsidRDefault="00712E1B" w:rsidP="00FA688B">
            <w:p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Ingresos y salarios</w:t>
            </w:r>
          </w:p>
        </w:tc>
      </w:tr>
      <w:tr w:rsidR="0024424C" w14:paraId="3A89E797" w14:textId="77777777" w:rsidTr="00B17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002060"/>
            <w:vAlign w:val="center"/>
          </w:tcPr>
          <w:p w14:paraId="1CDF377D" w14:textId="77777777" w:rsidR="0024424C" w:rsidRPr="00FA688B" w:rsidRDefault="0024424C" w:rsidP="00FA688B">
            <w:pPr>
              <w:rPr>
                <w:rFonts w:ascii="IBM Plex Sans" w:hAnsi="IBM Plex Sans" w:cs="Arial"/>
                <w:sz w:val="20"/>
                <w:szCs w:val="20"/>
              </w:rPr>
            </w:pPr>
          </w:p>
        </w:tc>
        <w:tc>
          <w:tcPr>
            <w:tcW w:w="1276" w:type="dxa"/>
            <w:shd w:val="clear" w:color="auto" w:fill="002060"/>
            <w:vAlign w:val="center"/>
          </w:tcPr>
          <w:p w14:paraId="3A6087B5" w14:textId="094FBAE9" w:rsidR="0024424C" w:rsidRPr="00FA688B" w:rsidRDefault="00712E1B" w:rsidP="00FA688B">
            <w:p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7</w:t>
            </w:r>
          </w:p>
        </w:tc>
        <w:tc>
          <w:tcPr>
            <w:tcW w:w="6089" w:type="dxa"/>
          </w:tcPr>
          <w:p w14:paraId="244307AB" w14:textId="2014878D" w:rsidR="0024424C" w:rsidRPr="00FA688B" w:rsidRDefault="00712E1B" w:rsidP="00FA688B">
            <w:p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Inversión social (por ejemplo: becas, red de cuido, IMAS, FODESAF, otros programas)</w:t>
            </w:r>
          </w:p>
        </w:tc>
      </w:tr>
      <w:tr w:rsidR="00712E1B" w14:paraId="753C1024" w14:textId="77777777" w:rsidTr="00B17685">
        <w:tc>
          <w:tcPr>
            <w:cnfStyle w:val="001000000000" w:firstRow="0" w:lastRow="0" w:firstColumn="1" w:lastColumn="0" w:oddVBand="0" w:evenVBand="0" w:oddHBand="0" w:evenHBand="0" w:firstRowFirstColumn="0" w:firstRowLastColumn="0" w:lastRowFirstColumn="0" w:lastRowLastColumn="0"/>
            <w:tcW w:w="1129" w:type="dxa"/>
            <w:shd w:val="clear" w:color="auto" w:fill="002060"/>
            <w:vAlign w:val="center"/>
          </w:tcPr>
          <w:p w14:paraId="0EC91B60" w14:textId="77777777" w:rsidR="00712E1B" w:rsidRPr="00FA688B" w:rsidRDefault="00712E1B" w:rsidP="00FA688B">
            <w:pPr>
              <w:rPr>
                <w:rFonts w:ascii="IBM Plex Sans" w:hAnsi="IBM Plex Sans" w:cs="Arial"/>
                <w:sz w:val="20"/>
                <w:szCs w:val="20"/>
              </w:rPr>
            </w:pPr>
          </w:p>
        </w:tc>
        <w:tc>
          <w:tcPr>
            <w:tcW w:w="1276" w:type="dxa"/>
            <w:shd w:val="clear" w:color="auto" w:fill="002060"/>
            <w:vAlign w:val="center"/>
          </w:tcPr>
          <w:p w14:paraId="542BFA2E" w14:textId="3D2DD76C" w:rsidR="00712E1B" w:rsidRPr="00FA688B" w:rsidRDefault="00FC37E3" w:rsidP="00FA688B">
            <w:p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8</w:t>
            </w:r>
          </w:p>
        </w:tc>
        <w:tc>
          <w:tcPr>
            <w:tcW w:w="6089" w:type="dxa"/>
          </w:tcPr>
          <w:p w14:paraId="36299B6A" w14:textId="3E20D52B" w:rsidR="00712E1B" w:rsidRPr="00FA688B" w:rsidRDefault="00712E1B" w:rsidP="00FA688B">
            <w:p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Pobreza y desigualdad</w:t>
            </w:r>
          </w:p>
        </w:tc>
      </w:tr>
      <w:tr w:rsidR="00712E1B" w14:paraId="4833B3D2" w14:textId="77777777" w:rsidTr="00B17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002060"/>
            <w:vAlign w:val="center"/>
          </w:tcPr>
          <w:p w14:paraId="734D0CE7" w14:textId="77777777" w:rsidR="00712E1B" w:rsidRPr="00FA688B" w:rsidRDefault="00712E1B" w:rsidP="00FA688B">
            <w:pPr>
              <w:rPr>
                <w:rFonts w:ascii="IBM Plex Sans" w:hAnsi="IBM Plex Sans" w:cs="Arial"/>
                <w:sz w:val="20"/>
                <w:szCs w:val="20"/>
              </w:rPr>
            </w:pPr>
          </w:p>
        </w:tc>
        <w:tc>
          <w:tcPr>
            <w:tcW w:w="1276" w:type="dxa"/>
            <w:shd w:val="clear" w:color="auto" w:fill="002060"/>
            <w:vAlign w:val="center"/>
          </w:tcPr>
          <w:p w14:paraId="6DF4EC8E" w14:textId="332B234B" w:rsidR="00712E1B" w:rsidRPr="00FA688B" w:rsidRDefault="00FC37E3" w:rsidP="00FA688B">
            <w:p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9</w:t>
            </w:r>
          </w:p>
        </w:tc>
        <w:tc>
          <w:tcPr>
            <w:tcW w:w="6089" w:type="dxa"/>
          </w:tcPr>
          <w:p w14:paraId="6824007D" w14:textId="57130843" w:rsidR="00712E1B" w:rsidRPr="00FA688B" w:rsidRDefault="00712E1B" w:rsidP="00FA688B">
            <w:p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Recreación y deportes</w:t>
            </w:r>
          </w:p>
        </w:tc>
      </w:tr>
      <w:tr w:rsidR="00712E1B" w14:paraId="2A0642BC" w14:textId="77777777" w:rsidTr="00B17685">
        <w:tc>
          <w:tcPr>
            <w:cnfStyle w:val="001000000000" w:firstRow="0" w:lastRow="0" w:firstColumn="1" w:lastColumn="0" w:oddVBand="0" w:evenVBand="0" w:oddHBand="0" w:evenHBand="0" w:firstRowFirstColumn="0" w:firstRowLastColumn="0" w:lastRowFirstColumn="0" w:lastRowLastColumn="0"/>
            <w:tcW w:w="1129" w:type="dxa"/>
            <w:shd w:val="clear" w:color="auto" w:fill="002060"/>
            <w:vAlign w:val="center"/>
          </w:tcPr>
          <w:p w14:paraId="2BD53D94" w14:textId="77777777" w:rsidR="00712E1B" w:rsidRPr="00FA688B" w:rsidRDefault="00712E1B" w:rsidP="00FA688B">
            <w:pPr>
              <w:rPr>
                <w:rFonts w:ascii="IBM Plex Sans" w:hAnsi="IBM Plex Sans" w:cs="Arial"/>
                <w:sz w:val="20"/>
                <w:szCs w:val="20"/>
              </w:rPr>
            </w:pPr>
          </w:p>
        </w:tc>
        <w:tc>
          <w:tcPr>
            <w:tcW w:w="1276" w:type="dxa"/>
            <w:shd w:val="clear" w:color="auto" w:fill="002060"/>
            <w:vAlign w:val="center"/>
          </w:tcPr>
          <w:p w14:paraId="2EA81B40" w14:textId="28FE5305" w:rsidR="00712E1B" w:rsidRPr="00FA688B" w:rsidRDefault="00712E1B" w:rsidP="00FA688B">
            <w:p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1</w:t>
            </w:r>
            <w:r w:rsidR="00FC37E3" w:rsidRPr="00FA688B">
              <w:rPr>
                <w:rFonts w:ascii="IBM Plex Sans" w:hAnsi="IBM Plex Sans" w:cs="Arial"/>
                <w:sz w:val="20"/>
                <w:szCs w:val="20"/>
              </w:rPr>
              <w:t>0</w:t>
            </w:r>
          </w:p>
        </w:tc>
        <w:tc>
          <w:tcPr>
            <w:tcW w:w="6089" w:type="dxa"/>
          </w:tcPr>
          <w:p w14:paraId="022A40D8" w14:textId="0F73CF87" w:rsidR="00712E1B" w:rsidRPr="00FA688B" w:rsidRDefault="00712E1B" w:rsidP="00FA688B">
            <w:p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Salud, seguridad social y pensiones</w:t>
            </w:r>
          </w:p>
        </w:tc>
      </w:tr>
      <w:tr w:rsidR="00712E1B" w14:paraId="47F2B125" w14:textId="77777777" w:rsidTr="00B17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002060"/>
            <w:vAlign w:val="center"/>
          </w:tcPr>
          <w:p w14:paraId="5E9BC7CB" w14:textId="77777777" w:rsidR="00712E1B" w:rsidRPr="00FA688B" w:rsidRDefault="00712E1B" w:rsidP="00FA688B">
            <w:pPr>
              <w:rPr>
                <w:rFonts w:ascii="IBM Plex Sans" w:hAnsi="IBM Plex Sans" w:cs="Arial"/>
                <w:sz w:val="20"/>
                <w:szCs w:val="20"/>
              </w:rPr>
            </w:pPr>
          </w:p>
        </w:tc>
        <w:tc>
          <w:tcPr>
            <w:tcW w:w="1276" w:type="dxa"/>
            <w:shd w:val="clear" w:color="auto" w:fill="002060"/>
            <w:vAlign w:val="center"/>
          </w:tcPr>
          <w:p w14:paraId="194CAA4A" w14:textId="509B030B" w:rsidR="00712E1B" w:rsidRPr="00FA688B" w:rsidRDefault="00712E1B" w:rsidP="00FA688B">
            <w:p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1</w:t>
            </w:r>
            <w:r w:rsidR="00FC37E3" w:rsidRPr="00FA688B">
              <w:rPr>
                <w:rFonts w:ascii="IBM Plex Sans" w:hAnsi="IBM Plex Sans" w:cs="Arial"/>
                <w:sz w:val="20"/>
                <w:szCs w:val="20"/>
              </w:rPr>
              <w:t>1</w:t>
            </w:r>
          </w:p>
        </w:tc>
        <w:tc>
          <w:tcPr>
            <w:tcW w:w="6089" w:type="dxa"/>
          </w:tcPr>
          <w:p w14:paraId="2D2D8FCF" w14:textId="0C4A39B0" w:rsidR="00712E1B" w:rsidRPr="00FA688B" w:rsidRDefault="00712E1B" w:rsidP="00FA688B">
            <w:p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Seguridad ciudadana y violencia</w:t>
            </w:r>
          </w:p>
        </w:tc>
      </w:tr>
      <w:tr w:rsidR="00712E1B" w14:paraId="16CAF523" w14:textId="77777777" w:rsidTr="00B17685">
        <w:tc>
          <w:tcPr>
            <w:cnfStyle w:val="001000000000" w:firstRow="0" w:lastRow="0" w:firstColumn="1" w:lastColumn="0" w:oddVBand="0" w:evenVBand="0" w:oddHBand="0" w:evenHBand="0" w:firstRowFirstColumn="0" w:firstRowLastColumn="0" w:lastRowFirstColumn="0" w:lastRowLastColumn="0"/>
            <w:tcW w:w="1129" w:type="dxa"/>
            <w:shd w:val="clear" w:color="auto" w:fill="002060"/>
            <w:vAlign w:val="center"/>
          </w:tcPr>
          <w:p w14:paraId="68827BDF" w14:textId="77777777" w:rsidR="00712E1B" w:rsidRPr="00FA688B" w:rsidRDefault="00712E1B" w:rsidP="00FA688B">
            <w:pPr>
              <w:rPr>
                <w:rFonts w:ascii="IBM Plex Sans" w:hAnsi="IBM Plex Sans" w:cs="Arial"/>
                <w:sz w:val="20"/>
                <w:szCs w:val="20"/>
              </w:rPr>
            </w:pPr>
          </w:p>
        </w:tc>
        <w:tc>
          <w:tcPr>
            <w:tcW w:w="1276" w:type="dxa"/>
            <w:shd w:val="clear" w:color="auto" w:fill="002060"/>
            <w:vAlign w:val="center"/>
          </w:tcPr>
          <w:p w14:paraId="70D70455" w14:textId="0F3735E8" w:rsidR="00712E1B" w:rsidRPr="00FA688B" w:rsidRDefault="00712E1B" w:rsidP="00FA688B">
            <w:p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1</w:t>
            </w:r>
            <w:r w:rsidR="00FC37E3" w:rsidRPr="00FA688B">
              <w:rPr>
                <w:rFonts w:ascii="IBM Plex Sans" w:hAnsi="IBM Plex Sans" w:cs="Arial"/>
                <w:sz w:val="20"/>
                <w:szCs w:val="20"/>
              </w:rPr>
              <w:t>2</w:t>
            </w:r>
          </w:p>
        </w:tc>
        <w:tc>
          <w:tcPr>
            <w:tcW w:w="6089" w:type="dxa"/>
          </w:tcPr>
          <w:p w14:paraId="03CE276B" w14:textId="5344BA99" w:rsidR="00712E1B" w:rsidRPr="00FA688B" w:rsidRDefault="00712E1B" w:rsidP="00FA688B">
            <w:p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Vivienda</w:t>
            </w:r>
          </w:p>
        </w:tc>
      </w:tr>
      <w:tr w:rsidR="00712E1B" w14:paraId="2B4216CF" w14:textId="77777777" w:rsidTr="00B17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002060"/>
            <w:vAlign w:val="center"/>
          </w:tcPr>
          <w:p w14:paraId="124AE042" w14:textId="77777777" w:rsidR="00712E1B" w:rsidRPr="00FA688B" w:rsidRDefault="00712E1B" w:rsidP="00FA688B">
            <w:pPr>
              <w:rPr>
                <w:rFonts w:ascii="IBM Plex Sans" w:hAnsi="IBM Plex Sans" w:cs="Arial"/>
                <w:sz w:val="20"/>
                <w:szCs w:val="20"/>
              </w:rPr>
            </w:pPr>
          </w:p>
        </w:tc>
        <w:tc>
          <w:tcPr>
            <w:tcW w:w="1276" w:type="dxa"/>
            <w:shd w:val="clear" w:color="auto" w:fill="002060"/>
            <w:vAlign w:val="center"/>
          </w:tcPr>
          <w:p w14:paraId="5D8A0D7B" w14:textId="49013FD3" w:rsidR="00712E1B" w:rsidRPr="00FA688B" w:rsidRDefault="00712E1B" w:rsidP="00FA688B">
            <w:p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1</w:t>
            </w:r>
            <w:r w:rsidR="00FC37E3" w:rsidRPr="00FA688B">
              <w:rPr>
                <w:rFonts w:ascii="IBM Plex Sans" w:hAnsi="IBM Plex Sans" w:cs="Arial"/>
                <w:sz w:val="20"/>
                <w:szCs w:val="20"/>
              </w:rPr>
              <w:t>3</w:t>
            </w:r>
          </w:p>
        </w:tc>
        <w:tc>
          <w:tcPr>
            <w:tcW w:w="6089" w:type="dxa"/>
          </w:tcPr>
          <w:p w14:paraId="143408CB" w14:textId="29AF79B4" w:rsidR="00712E1B" w:rsidRPr="00FA688B" w:rsidRDefault="00712E1B" w:rsidP="00FA688B">
            <w:p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Otras sociales</w:t>
            </w:r>
          </w:p>
        </w:tc>
      </w:tr>
      <w:tr w:rsidR="00712E1B" w14:paraId="00D1DC17" w14:textId="77777777" w:rsidTr="00B17685">
        <w:tc>
          <w:tcPr>
            <w:cnfStyle w:val="001000000000" w:firstRow="0" w:lastRow="0" w:firstColumn="1" w:lastColumn="0" w:oddVBand="0" w:evenVBand="0" w:oddHBand="0" w:evenHBand="0" w:firstRowFirstColumn="0" w:firstRowLastColumn="0" w:lastRowFirstColumn="0" w:lastRowLastColumn="0"/>
            <w:tcW w:w="1129" w:type="dxa"/>
            <w:shd w:val="clear" w:color="auto" w:fill="002060"/>
            <w:vAlign w:val="center"/>
          </w:tcPr>
          <w:p w14:paraId="40731FFC" w14:textId="553E03CB" w:rsidR="00712E1B" w:rsidRPr="00FA688B" w:rsidRDefault="00712E1B" w:rsidP="00FA688B">
            <w:pPr>
              <w:rPr>
                <w:rFonts w:ascii="IBM Plex Sans" w:hAnsi="IBM Plex Sans" w:cs="Arial"/>
                <w:sz w:val="20"/>
                <w:szCs w:val="20"/>
              </w:rPr>
            </w:pPr>
            <w:r w:rsidRPr="00FA688B">
              <w:rPr>
                <w:rFonts w:ascii="IBM Plex Sans" w:hAnsi="IBM Plex Sans" w:cs="Arial"/>
                <w:sz w:val="20"/>
                <w:szCs w:val="20"/>
              </w:rPr>
              <w:t>1</w:t>
            </w:r>
            <w:r w:rsidR="00FC37E3" w:rsidRPr="00FA688B">
              <w:rPr>
                <w:rFonts w:ascii="IBM Plex Sans" w:hAnsi="IBM Plex Sans" w:cs="Arial"/>
                <w:sz w:val="20"/>
                <w:szCs w:val="20"/>
              </w:rPr>
              <w:t>4</w:t>
            </w:r>
          </w:p>
        </w:tc>
        <w:tc>
          <w:tcPr>
            <w:tcW w:w="1276" w:type="dxa"/>
            <w:shd w:val="clear" w:color="auto" w:fill="002060"/>
            <w:vAlign w:val="center"/>
          </w:tcPr>
          <w:p w14:paraId="1B9EDD51" w14:textId="77777777" w:rsidR="00712E1B" w:rsidRPr="00FA688B" w:rsidRDefault="00712E1B" w:rsidP="00FA688B">
            <w:p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p>
        </w:tc>
        <w:tc>
          <w:tcPr>
            <w:tcW w:w="6089" w:type="dxa"/>
          </w:tcPr>
          <w:p w14:paraId="389D2CF1" w14:textId="7CFD1F62" w:rsidR="00712E1B" w:rsidRPr="00FA688B" w:rsidRDefault="00712E1B" w:rsidP="00FA688B">
            <w:pPr>
              <w:cnfStyle w:val="000000000000" w:firstRow="0" w:lastRow="0" w:firstColumn="0" w:lastColumn="0" w:oddVBand="0" w:evenVBand="0" w:oddHBand="0" w:evenHBand="0" w:firstRowFirstColumn="0" w:firstRowLastColumn="0" w:lastRowFirstColumn="0" w:lastRowLastColumn="0"/>
              <w:rPr>
                <w:rFonts w:ascii="IBM Plex Sans" w:hAnsi="IBM Plex Sans" w:cs="Arial"/>
                <w:b/>
                <w:bCs/>
                <w:sz w:val="20"/>
                <w:szCs w:val="20"/>
                <w:u w:val="single"/>
              </w:rPr>
            </w:pPr>
            <w:r w:rsidRPr="00FA688B">
              <w:rPr>
                <w:rFonts w:ascii="IBM Plex Sans" w:hAnsi="IBM Plex Sans" w:cs="Arial"/>
                <w:b/>
                <w:bCs/>
                <w:sz w:val="20"/>
                <w:szCs w:val="20"/>
                <w:u w:val="single"/>
              </w:rPr>
              <w:t>Económicos</w:t>
            </w:r>
          </w:p>
        </w:tc>
      </w:tr>
      <w:tr w:rsidR="00712E1B" w14:paraId="34AC809A" w14:textId="77777777" w:rsidTr="00B17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002060"/>
            <w:vAlign w:val="center"/>
          </w:tcPr>
          <w:p w14:paraId="377CD7BB" w14:textId="77777777" w:rsidR="00712E1B" w:rsidRPr="00FA688B" w:rsidRDefault="00712E1B" w:rsidP="00FA688B">
            <w:pPr>
              <w:rPr>
                <w:rFonts w:ascii="IBM Plex Sans" w:hAnsi="IBM Plex Sans" w:cs="Arial"/>
                <w:sz w:val="20"/>
                <w:szCs w:val="20"/>
              </w:rPr>
            </w:pPr>
          </w:p>
        </w:tc>
        <w:tc>
          <w:tcPr>
            <w:tcW w:w="1276" w:type="dxa"/>
            <w:shd w:val="clear" w:color="auto" w:fill="002060"/>
            <w:vAlign w:val="center"/>
          </w:tcPr>
          <w:p w14:paraId="4B6CEEE5" w14:textId="5C0BB51E" w:rsidR="00712E1B" w:rsidRPr="00FA688B" w:rsidRDefault="00BD6AC1" w:rsidP="00FA688B">
            <w:p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1</w:t>
            </w:r>
            <w:r w:rsidR="00FC37E3" w:rsidRPr="00FA688B">
              <w:rPr>
                <w:rFonts w:ascii="IBM Plex Sans" w:hAnsi="IBM Plex Sans" w:cs="Arial"/>
                <w:sz w:val="20"/>
                <w:szCs w:val="20"/>
              </w:rPr>
              <w:t>5</w:t>
            </w:r>
          </w:p>
        </w:tc>
        <w:tc>
          <w:tcPr>
            <w:tcW w:w="6089" w:type="dxa"/>
          </w:tcPr>
          <w:p w14:paraId="2D15B423" w14:textId="3A5C50F1" w:rsidR="00712E1B" w:rsidRPr="00FA688B" w:rsidRDefault="00712E1B" w:rsidP="00FA688B">
            <w:p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Agricultura y agropecuario</w:t>
            </w:r>
          </w:p>
        </w:tc>
      </w:tr>
      <w:tr w:rsidR="00712E1B" w14:paraId="3A9401B1" w14:textId="77777777" w:rsidTr="00B17685">
        <w:tc>
          <w:tcPr>
            <w:cnfStyle w:val="001000000000" w:firstRow="0" w:lastRow="0" w:firstColumn="1" w:lastColumn="0" w:oddVBand="0" w:evenVBand="0" w:oddHBand="0" w:evenHBand="0" w:firstRowFirstColumn="0" w:firstRowLastColumn="0" w:lastRowFirstColumn="0" w:lastRowLastColumn="0"/>
            <w:tcW w:w="1129" w:type="dxa"/>
            <w:shd w:val="clear" w:color="auto" w:fill="002060"/>
            <w:vAlign w:val="center"/>
          </w:tcPr>
          <w:p w14:paraId="15F08E8F" w14:textId="77777777" w:rsidR="00712E1B" w:rsidRPr="00FA688B" w:rsidRDefault="00712E1B" w:rsidP="00FA688B">
            <w:pPr>
              <w:rPr>
                <w:rFonts w:ascii="IBM Plex Sans" w:hAnsi="IBM Plex Sans" w:cs="Arial"/>
                <w:sz w:val="20"/>
                <w:szCs w:val="20"/>
              </w:rPr>
            </w:pPr>
          </w:p>
        </w:tc>
        <w:tc>
          <w:tcPr>
            <w:tcW w:w="1276" w:type="dxa"/>
            <w:shd w:val="clear" w:color="auto" w:fill="002060"/>
            <w:vAlign w:val="center"/>
          </w:tcPr>
          <w:p w14:paraId="4899B73D" w14:textId="77A3217A" w:rsidR="00712E1B" w:rsidRPr="00FA688B" w:rsidRDefault="00BD6AC1" w:rsidP="00FA688B">
            <w:p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1</w:t>
            </w:r>
            <w:r w:rsidR="00FC37E3" w:rsidRPr="00FA688B">
              <w:rPr>
                <w:rFonts w:ascii="IBM Plex Sans" w:hAnsi="IBM Plex Sans" w:cs="Arial"/>
                <w:sz w:val="20"/>
                <w:szCs w:val="20"/>
              </w:rPr>
              <w:t>6</w:t>
            </w:r>
          </w:p>
        </w:tc>
        <w:tc>
          <w:tcPr>
            <w:tcW w:w="6089" w:type="dxa"/>
          </w:tcPr>
          <w:p w14:paraId="4C177298" w14:textId="5591A92D" w:rsidR="00712E1B" w:rsidRPr="00FA688B" w:rsidRDefault="00712E1B" w:rsidP="00FA688B">
            <w:p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Banca y finanzas</w:t>
            </w:r>
          </w:p>
        </w:tc>
      </w:tr>
      <w:tr w:rsidR="00712E1B" w14:paraId="1F574740" w14:textId="77777777" w:rsidTr="00B17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002060"/>
            <w:vAlign w:val="center"/>
          </w:tcPr>
          <w:p w14:paraId="187B35D2" w14:textId="77777777" w:rsidR="00712E1B" w:rsidRPr="00FA688B" w:rsidRDefault="00712E1B" w:rsidP="00FA688B">
            <w:pPr>
              <w:rPr>
                <w:rFonts w:ascii="IBM Plex Sans" w:hAnsi="IBM Plex Sans" w:cs="Arial"/>
                <w:sz w:val="20"/>
                <w:szCs w:val="20"/>
              </w:rPr>
            </w:pPr>
          </w:p>
        </w:tc>
        <w:tc>
          <w:tcPr>
            <w:tcW w:w="1276" w:type="dxa"/>
            <w:shd w:val="clear" w:color="auto" w:fill="002060"/>
            <w:vAlign w:val="center"/>
          </w:tcPr>
          <w:p w14:paraId="49CC8A96" w14:textId="1638A7AC" w:rsidR="00712E1B" w:rsidRPr="00FA688B" w:rsidRDefault="00BD6AC1" w:rsidP="00FA688B">
            <w:p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1</w:t>
            </w:r>
            <w:r w:rsidR="00FC37E3" w:rsidRPr="00FA688B">
              <w:rPr>
                <w:rFonts w:ascii="IBM Plex Sans" w:hAnsi="IBM Plex Sans" w:cs="Arial"/>
                <w:sz w:val="20"/>
                <w:szCs w:val="20"/>
              </w:rPr>
              <w:t>7</w:t>
            </w:r>
          </w:p>
        </w:tc>
        <w:tc>
          <w:tcPr>
            <w:tcW w:w="6089" w:type="dxa"/>
          </w:tcPr>
          <w:p w14:paraId="46ED7967" w14:textId="15CFE813" w:rsidR="00712E1B" w:rsidRPr="00FA688B" w:rsidRDefault="00712E1B" w:rsidP="00FA688B">
            <w:p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Comercio exterior (por ejemplo: importaciones, exportaciones y aranceles)</w:t>
            </w:r>
          </w:p>
        </w:tc>
      </w:tr>
      <w:tr w:rsidR="00712E1B" w14:paraId="00F5D41E" w14:textId="77777777" w:rsidTr="00B17685">
        <w:tc>
          <w:tcPr>
            <w:cnfStyle w:val="001000000000" w:firstRow="0" w:lastRow="0" w:firstColumn="1" w:lastColumn="0" w:oddVBand="0" w:evenVBand="0" w:oddHBand="0" w:evenHBand="0" w:firstRowFirstColumn="0" w:firstRowLastColumn="0" w:lastRowFirstColumn="0" w:lastRowLastColumn="0"/>
            <w:tcW w:w="1129" w:type="dxa"/>
            <w:shd w:val="clear" w:color="auto" w:fill="002060"/>
            <w:vAlign w:val="center"/>
          </w:tcPr>
          <w:p w14:paraId="01089997" w14:textId="77777777" w:rsidR="00712E1B" w:rsidRPr="00FA688B" w:rsidRDefault="00712E1B" w:rsidP="00FA688B">
            <w:pPr>
              <w:rPr>
                <w:rFonts w:ascii="IBM Plex Sans" w:hAnsi="IBM Plex Sans" w:cs="Arial"/>
                <w:sz w:val="20"/>
                <w:szCs w:val="20"/>
              </w:rPr>
            </w:pPr>
          </w:p>
        </w:tc>
        <w:tc>
          <w:tcPr>
            <w:tcW w:w="1276" w:type="dxa"/>
            <w:shd w:val="clear" w:color="auto" w:fill="002060"/>
            <w:vAlign w:val="center"/>
          </w:tcPr>
          <w:p w14:paraId="41F8D82C" w14:textId="55B9BD7E" w:rsidR="00712E1B" w:rsidRPr="00FA688B" w:rsidRDefault="00FC37E3" w:rsidP="00FA688B">
            <w:p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18</w:t>
            </w:r>
          </w:p>
        </w:tc>
        <w:tc>
          <w:tcPr>
            <w:tcW w:w="6089" w:type="dxa"/>
          </w:tcPr>
          <w:p w14:paraId="0289F12C" w14:textId="5BA27ED1" w:rsidR="00712E1B" w:rsidRPr="00FA688B" w:rsidRDefault="00712E1B" w:rsidP="00FA688B">
            <w:p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Crecimiento económico, competitividad y productividad</w:t>
            </w:r>
          </w:p>
        </w:tc>
      </w:tr>
      <w:tr w:rsidR="00712E1B" w14:paraId="68B7FB2C" w14:textId="77777777" w:rsidTr="00B17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002060"/>
            <w:vAlign w:val="center"/>
          </w:tcPr>
          <w:p w14:paraId="6247D521" w14:textId="77777777" w:rsidR="00712E1B" w:rsidRPr="00FA688B" w:rsidRDefault="00712E1B" w:rsidP="00FA688B">
            <w:pPr>
              <w:rPr>
                <w:rFonts w:ascii="IBM Plex Sans" w:hAnsi="IBM Plex Sans" w:cs="Arial"/>
                <w:sz w:val="20"/>
                <w:szCs w:val="20"/>
              </w:rPr>
            </w:pPr>
          </w:p>
        </w:tc>
        <w:tc>
          <w:tcPr>
            <w:tcW w:w="1276" w:type="dxa"/>
            <w:shd w:val="clear" w:color="auto" w:fill="002060"/>
            <w:vAlign w:val="center"/>
          </w:tcPr>
          <w:p w14:paraId="78C82FAC" w14:textId="0858CB47" w:rsidR="00712E1B" w:rsidRPr="00FA688B" w:rsidRDefault="00FC37E3" w:rsidP="00FA688B">
            <w:p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19</w:t>
            </w:r>
          </w:p>
        </w:tc>
        <w:tc>
          <w:tcPr>
            <w:tcW w:w="6089" w:type="dxa"/>
          </w:tcPr>
          <w:p w14:paraId="32D9CDC6" w14:textId="31C747A8" w:rsidR="00712E1B" w:rsidRPr="00FA688B" w:rsidRDefault="00712E1B" w:rsidP="00FA688B">
            <w:p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Empleo y encadenamientos</w:t>
            </w:r>
          </w:p>
        </w:tc>
      </w:tr>
      <w:tr w:rsidR="00712E1B" w14:paraId="1BD749C7" w14:textId="77777777" w:rsidTr="00B17685">
        <w:tc>
          <w:tcPr>
            <w:cnfStyle w:val="001000000000" w:firstRow="0" w:lastRow="0" w:firstColumn="1" w:lastColumn="0" w:oddVBand="0" w:evenVBand="0" w:oddHBand="0" w:evenHBand="0" w:firstRowFirstColumn="0" w:firstRowLastColumn="0" w:lastRowFirstColumn="0" w:lastRowLastColumn="0"/>
            <w:tcW w:w="1129" w:type="dxa"/>
            <w:shd w:val="clear" w:color="auto" w:fill="002060"/>
            <w:vAlign w:val="center"/>
          </w:tcPr>
          <w:p w14:paraId="1B070EB1" w14:textId="77777777" w:rsidR="00712E1B" w:rsidRPr="00FA688B" w:rsidRDefault="00712E1B" w:rsidP="00FA688B">
            <w:pPr>
              <w:rPr>
                <w:rFonts w:ascii="IBM Plex Sans" w:hAnsi="IBM Plex Sans" w:cs="Arial"/>
                <w:sz w:val="20"/>
                <w:szCs w:val="20"/>
              </w:rPr>
            </w:pPr>
          </w:p>
        </w:tc>
        <w:tc>
          <w:tcPr>
            <w:tcW w:w="1276" w:type="dxa"/>
            <w:shd w:val="clear" w:color="auto" w:fill="002060"/>
            <w:vAlign w:val="center"/>
          </w:tcPr>
          <w:p w14:paraId="78CB5BC3" w14:textId="0CB33856" w:rsidR="00712E1B" w:rsidRPr="00FA688B" w:rsidRDefault="00FC37E3" w:rsidP="00FA688B">
            <w:p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20</w:t>
            </w:r>
          </w:p>
        </w:tc>
        <w:tc>
          <w:tcPr>
            <w:tcW w:w="6089" w:type="dxa"/>
          </w:tcPr>
          <w:p w14:paraId="2C8C4246" w14:textId="4B37D484" w:rsidR="00712E1B" w:rsidRPr="00FA688B" w:rsidRDefault="00712E1B" w:rsidP="00FA688B">
            <w:p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Industria y comercio</w:t>
            </w:r>
          </w:p>
        </w:tc>
      </w:tr>
      <w:tr w:rsidR="00712E1B" w14:paraId="720E96C1" w14:textId="77777777" w:rsidTr="00B17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002060"/>
            <w:vAlign w:val="center"/>
          </w:tcPr>
          <w:p w14:paraId="291C4A22" w14:textId="77777777" w:rsidR="00712E1B" w:rsidRPr="00FA688B" w:rsidRDefault="00712E1B" w:rsidP="00FA688B">
            <w:pPr>
              <w:rPr>
                <w:rFonts w:ascii="IBM Plex Sans" w:hAnsi="IBM Plex Sans" w:cs="Arial"/>
                <w:sz w:val="20"/>
                <w:szCs w:val="20"/>
              </w:rPr>
            </w:pPr>
          </w:p>
        </w:tc>
        <w:tc>
          <w:tcPr>
            <w:tcW w:w="1276" w:type="dxa"/>
            <w:shd w:val="clear" w:color="auto" w:fill="002060"/>
            <w:vAlign w:val="center"/>
          </w:tcPr>
          <w:p w14:paraId="3D54BB3D" w14:textId="2E4D6D4A" w:rsidR="00712E1B" w:rsidRPr="00FA688B" w:rsidRDefault="00FC37E3" w:rsidP="00FA688B">
            <w:p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21</w:t>
            </w:r>
          </w:p>
        </w:tc>
        <w:tc>
          <w:tcPr>
            <w:tcW w:w="6089" w:type="dxa"/>
          </w:tcPr>
          <w:p w14:paraId="769FF889" w14:textId="592D55A5" w:rsidR="00712E1B" w:rsidRPr="00FA688B" w:rsidRDefault="00712E1B" w:rsidP="00FA688B">
            <w:p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Infraestructura</w:t>
            </w:r>
          </w:p>
        </w:tc>
      </w:tr>
      <w:tr w:rsidR="00712E1B" w14:paraId="42BE5B7E" w14:textId="77777777" w:rsidTr="00B17685">
        <w:tc>
          <w:tcPr>
            <w:cnfStyle w:val="001000000000" w:firstRow="0" w:lastRow="0" w:firstColumn="1" w:lastColumn="0" w:oddVBand="0" w:evenVBand="0" w:oddHBand="0" w:evenHBand="0" w:firstRowFirstColumn="0" w:firstRowLastColumn="0" w:lastRowFirstColumn="0" w:lastRowLastColumn="0"/>
            <w:tcW w:w="1129" w:type="dxa"/>
            <w:shd w:val="clear" w:color="auto" w:fill="002060"/>
            <w:vAlign w:val="center"/>
          </w:tcPr>
          <w:p w14:paraId="334107A3" w14:textId="77777777" w:rsidR="00712E1B" w:rsidRPr="00FA688B" w:rsidRDefault="00712E1B" w:rsidP="00FA688B">
            <w:pPr>
              <w:rPr>
                <w:rFonts w:ascii="IBM Plex Sans" w:hAnsi="IBM Plex Sans" w:cs="Arial"/>
                <w:sz w:val="20"/>
                <w:szCs w:val="20"/>
              </w:rPr>
            </w:pPr>
          </w:p>
        </w:tc>
        <w:tc>
          <w:tcPr>
            <w:tcW w:w="1276" w:type="dxa"/>
            <w:shd w:val="clear" w:color="auto" w:fill="002060"/>
            <w:vAlign w:val="center"/>
          </w:tcPr>
          <w:p w14:paraId="60CED50D" w14:textId="0922125F" w:rsidR="00712E1B" w:rsidRPr="00FA688B" w:rsidRDefault="00FC37E3" w:rsidP="00FA688B">
            <w:p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22</w:t>
            </w:r>
          </w:p>
        </w:tc>
        <w:tc>
          <w:tcPr>
            <w:tcW w:w="6089" w:type="dxa"/>
          </w:tcPr>
          <w:p w14:paraId="79D02F95" w14:textId="164FD409" w:rsidR="00712E1B" w:rsidRPr="00FA688B" w:rsidRDefault="00712E1B" w:rsidP="00FA688B">
            <w:p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Política monetaria (tasa de interés, inflación y tipo de cambio)</w:t>
            </w:r>
          </w:p>
        </w:tc>
      </w:tr>
      <w:tr w:rsidR="00712E1B" w14:paraId="5AB59BD8" w14:textId="77777777" w:rsidTr="00B17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002060"/>
            <w:vAlign w:val="center"/>
          </w:tcPr>
          <w:p w14:paraId="328141FF" w14:textId="77777777" w:rsidR="00712E1B" w:rsidRPr="00FA688B" w:rsidRDefault="00712E1B" w:rsidP="00FA688B">
            <w:pPr>
              <w:rPr>
                <w:rFonts w:ascii="IBM Plex Sans" w:hAnsi="IBM Plex Sans" w:cs="Arial"/>
                <w:sz w:val="20"/>
                <w:szCs w:val="20"/>
              </w:rPr>
            </w:pPr>
          </w:p>
        </w:tc>
        <w:tc>
          <w:tcPr>
            <w:tcW w:w="1276" w:type="dxa"/>
            <w:shd w:val="clear" w:color="auto" w:fill="002060"/>
            <w:vAlign w:val="center"/>
          </w:tcPr>
          <w:p w14:paraId="23CDA263" w14:textId="377C4E2F" w:rsidR="00712E1B" w:rsidRPr="00FA688B" w:rsidRDefault="00BD6AC1" w:rsidP="00FA688B">
            <w:p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2</w:t>
            </w:r>
            <w:r w:rsidR="00FC37E3" w:rsidRPr="00FA688B">
              <w:rPr>
                <w:rFonts w:ascii="IBM Plex Sans" w:hAnsi="IBM Plex Sans" w:cs="Arial"/>
                <w:sz w:val="20"/>
                <w:szCs w:val="20"/>
              </w:rPr>
              <w:t>3</w:t>
            </w:r>
          </w:p>
        </w:tc>
        <w:tc>
          <w:tcPr>
            <w:tcW w:w="6089" w:type="dxa"/>
          </w:tcPr>
          <w:p w14:paraId="22DB8622" w14:textId="2C88E9BA" w:rsidR="00712E1B" w:rsidRPr="00FA688B" w:rsidRDefault="00712E1B" w:rsidP="00FA688B">
            <w:p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Pymes, emprendedurismo e innovación</w:t>
            </w:r>
          </w:p>
        </w:tc>
      </w:tr>
      <w:tr w:rsidR="00712E1B" w14:paraId="473842E3" w14:textId="77777777" w:rsidTr="00B17685">
        <w:tc>
          <w:tcPr>
            <w:cnfStyle w:val="001000000000" w:firstRow="0" w:lastRow="0" w:firstColumn="1" w:lastColumn="0" w:oddVBand="0" w:evenVBand="0" w:oddHBand="0" w:evenHBand="0" w:firstRowFirstColumn="0" w:firstRowLastColumn="0" w:lastRowFirstColumn="0" w:lastRowLastColumn="0"/>
            <w:tcW w:w="1129" w:type="dxa"/>
            <w:shd w:val="clear" w:color="auto" w:fill="002060"/>
            <w:vAlign w:val="center"/>
          </w:tcPr>
          <w:p w14:paraId="783F024C" w14:textId="77777777" w:rsidR="00712E1B" w:rsidRPr="00FA688B" w:rsidRDefault="00712E1B" w:rsidP="00FA688B">
            <w:pPr>
              <w:rPr>
                <w:rFonts w:ascii="IBM Plex Sans" w:hAnsi="IBM Plex Sans" w:cs="Arial"/>
                <w:sz w:val="20"/>
                <w:szCs w:val="20"/>
              </w:rPr>
            </w:pPr>
          </w:p>
        </w:tc>
        <w:tc>
          <w:tcPr>
            <w:tcW w:w="1276" w:type="dxa"/>
            <w:shd w:val="clear" w:color="auto" w:fill="002060"/>
            <w:vAlign w:val="center"/>
          </w:tcPr>
          <w:p w14:paraId="244815CC" w14:textId="6A129B7A" w:rsidR="00712E1B" w:rsidRPr="00FA688B" w:rsidRDefault="00BD6AC1" w:rsidP="00FA688B">
            <w:p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2</w:t>
            </w:r>
            <w:r w:rsidR="00FC37E3" w:rsidRPr="00FA688B">
              <w:rPr>
                <w:rFonts w:ascii="IBM Plex Sans" w:hAnsi="IBM Plex Sans" w:cs="Arial"/>
                <w:sz w:val="20"/>
                <w:szCs w:val="20"/>
              </w:rPr>
              <w:t>4</w:t>
            </w:r>
          </w:p>
        </w:tc>
        <w:tc>
          <w:tcPr>
            <w:tcW w:w="6089" w:type="dxa"/>
          </w:tcPr>
          <w:p w14:paraId="7C78F412" w14:textId="0A6A4749" w:rsidR="00712E1B" w:rsidRPr="00FA688B" w:rsidRDefault="00712E1B" w:rsidP="00FA688B">
            <w:p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Servicios</w:t>
            </w:r>
          </w:p>
        </w:tc>
      </w:tr>
      <w:tr w:rsidR="00712E1B" w14:paraId="24436CD5" w14:textId="77777777" w:rsidTr="00B17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002060"/>
            <w:vAlign w:val="center"/>
          </w:tcPr>
          <w:p w14:paraId="21134170" w14:textId="77777777" w:rsidR="00712E1B" w:rsidRPr="00FA688B" w:rsidRDefault="00712E1B" w:rsidP="00FA688B">
            <w:pPr>
              <w:rPr>
                <w:rFonts w:ascii="IBM Plex Sans" w:hAnsi="IBM Plex Sans" w:cs="Arial"/>
                <w:sz w:val="20"/>
                <w:szCs w:val="20"/>
              </w:rPr>
            </w:pPr>
          </w:p>
        </w:tc>
        <w:tc>
          <w:tcPr>
            <w:tcW w:w="1276" w:type="dxa"/>
            <w:shd w:val="clear" w:color="auto" w:fill="002060"/>
            <w:vAlign w:val="center"/>
          </w:tcPr>
          <w:p w14:paraId="7AC2376E" w14:textId="3FB53557" w:rsidR="00712E1B" w:rsidRPr="00FA688B" w:rsidRDefault="00BD6AC1" w:rsidP="00FA688B">
            <w:p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2</w:t>
            </w:r>
            <w:r w:rsidR="00FC37E3" w:rsidRPr="00FA688B">
              <w:rPr>
                <w:rFonts w:ascii="IBM Plex Sans" w:hAnsi="IBM Plex Sans" w:cs="Arial"/>
                <w:sz w:val="20"/>
                <w:szCs w:val="20"/>
              </w:rPr>
              <w:t>5</w:t>
            </w:r>
          </w:p>
        </w:tc>
        <w:tc>
          <w:tcPr>
            <w:tcW w:w="6089" w:type="dxa"/>
          </w:tcPr>
          <w:p w14:paraId="07D57DB0" w14:textId="23132A47" w:rsidR="00712E1B" w:rsidRPr="00FA688B" w:rsidRDefault="00712E1B" w:rsidP="00FA688B">
            <w:p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Telecomunicaciones</w:t>
            </w:r>
          </w:p>
        </w:tc>
      </w:tr>
      <w:tr w:rsidR="00712E1B" w14:paraId="59219818" w14:textId="77777777" w:rsidTr="00B17685">
        <w:tc>
          <w:tcPr>
            <w:cnfStyle w:val="001000000000" w:firstRow="0" w:lastRow="0" w:firstColumn="1" w:lastColumn="0" w:oddVBand="0" w:evenVBand="0" w:oddHBand="0" w:evenHBand="0" w:firstRowFirstColumn="0" w:firstRowLastColumn="0" w:lastRowFirstColumn="0" w:lastRowLastColumn="0"/>
            <w:tcW w:w="1129" w:type="dxa"/>
            <w:shd w:val="clear" w:color="auto" w:fill="002060"/>
            <w:vAlign w:val="center"/>
          </w:tcPr>
          <w:p w14:paraId="320C8A7D" w14:textId="77777777" w:rsidR="00712E1B" w:rsidRPr="00FA688B" w:rsidRDefault="00712E1B" w:rsidP="00FA688B">
            <w:pPr>
              <w:rPr>
                <w:rFonts w:ascii="IBM Plex Sans" w:hAnsi="IBM Plex Sans" w:cs="Arial"/>
                <w:sz w:val="20"/>
                <w:szCs w:val="20"/>
              </w:rPr>
            </w:pPr>
          </w:p>
        </w:tc>
        <w:tc>
          <w:tcPr>
            <w:tcW w:w="1276" w:type="dxa"/>
            <w:shd w:val="clear" w:color="auto" w:fill="002060"/>
            <w:vAlign w:val="center"/>
          </w:tcPr>
          <w:p w14:paraId="26299E9A" w14:textId="249BEFB5" w:rsidR="00712E1B" w:rsidRPr="00FA688B" w:rsidRDefault="00BD6AC1" w:rsidP="00FA688B">
            <w:p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2</w:t>
            </w:r>
            <w:r w:rsidR="00FC37E3" w:rsidRPr="00FA688B">
              <w:rPr>
                <w:rFonts w:ascii="IBM Plex Sans" w:hAnsi="IBM Plex Sans" w:cs="Arial"/>
                <w:sz w:val="20"/>
                <w:szCs w:val="20"/>
              </w:rPr>
              <w:t>6</w:t>
            </w:r>
          </w:p>
        </w:tc>
        <w:tc>
          <w:tcPr>
            <w:tcW w:w="6089" w:type="dxa"/>
          </w:tcPr>
          <w:p w14:paraId="25B62E79" w14:textId="3A3A95E4" w:rsidR="00712E1B" w:rsidRPr="00FA688B" w:rsidRDefault="00712E1B" w:rsidP="00FA688B">
            <w:p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Turismo</w:t>
            </w:r>
          </w:p>
        </w:tc>
      </w:tr>
      <w:tr w:rsidR="00712E1B" w14:paraId="1CD2B542" w14:textId="77777777" w:rsidTr="00B17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002060"/>
            <w:vAlign w:val="center"/>
          </w:tcPr>
          <w:p w14:paraId="5164BA6B" w14:textId="77777777" w:rsidR="00712E1B" w:rsidRPr="00FA688B" w:rsidRDefault="00712E1B" w:rsidP="00FA688B">
            <w:pPr>
              <w:rPr>
                <w:rFonts w:ascii="IBM Plex Sans" w:hAnsi="IBM Plex Sans" w:cs="Arial"/>
                <w:sz w:val="20"/>
                <w:szCs w:val="20"/>
              </w:rPr>
            </w:pPr>
          </w:p>
        </w:tc>
        <w:tc>
          <w:tcPr>
            <w:tcW w:w="1276" w:type="dxa"/>
            <w:shd w:val="clear" w:color="auto" w:fill="002060"/>
            <w:vAlign w:val="center"/>
          </w:tcPr>
          <w:p w14:paraId="20508DBD" w14:textId="13D493AC" w:rsidR="00712E1B" w:rsidRPr="00FA688B" w:rsidRDefault="00BD6AC1" w:rsidP="00FA688B">
            <w:p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2</w:t>
            </w:r>
            <w:r w:rsidR="00FC37E3" w:rsidRPr="00FA688B">
              <w:rPr>
                <w:rFonts w:ascii="IBM Plex Sans" w:hAnsi="IBM Plex Sans" w:cs="Arial"/>
                <w:sz w:val="20"/>
                <w:szCs w:val="20"/>
              </w:rPr>
              <w:t>7</w:t>
            </w:r>
          </w:p>
        </w:tc>
        <w:tc>
          <w:tcPr>
            <w:tcW w:w="6089" w:type="dxa"/>
          </w:tcPr>
          <w:p w14:paraId="4D5A5098" w14:textId="2628C0E3" w:rsidR="00712E1B" w:rsidRPr="00FA688B" w:rsidRDefault="00BD6AC1" w:rsidP="00FA688B">
            <w:p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Otras económicas</w:t>
            </w:r>
          </w:p>
        </w:tc>
      </w:tr>
      <w:tr w:rsidR="00BD6AC1" w14:paraId="66258D96" w14:textId="77777777" w:rsidTr="00B17685">
        <w:tc>
          <w:tcPr>
            <w:cnfStyle w:val="001000000000" w:firstRow="0" w:lastRow="0" w:firstColumn="1" w:lastColumn="0" w:oddVBand="0" w:evenVBand="0" w:oddHBand="0" w:evenHBand="0" w:firstRowFirstColumn="0" w:firstRowLastColumn="0" w:lastRowFirstColumn="0" w:lastRowLastColumn="0"/>
            <w:tcW w:w="1129" w:type="dxa"/>
            <w:shd w:val="clear" w:color="auto" w:fill="002060"/>
            <w:vAlign w:val="center"/>
          </w:tcPr>
          <w:p w14:paraId="6D43D919" w14:textId="09D761D3" w:rsidR="00BD6AC1" w:rsidRPr="00FA688B" w:rsidRDefault="00FC37E3" w:rsidP="00FA688B">
            <w:pPr>
              <w:rPr>
                <w:rFonts w:ascii="IBM Plex Sans" w:hAnsi="IBM Plex Sans" w:cs="Arial"/>
                <w:sz w:val="20"/>
                <w:szCs w:val="20"/>
              </w:rPr>
            </w:pPr>
            <w:r w:rsidRPr="00FA688B">
              <w:rPr>
                <w:rFonts w:ascii="IBM Plex Sans" w:hAnsi="IBM Plex Sans" w:cs="Arial"/>
                <w:sz w:val="20"/>
                <w:szCs w:val="20"/>
              </w:rPr>
              <w:t>28</w:t>
            </w:r>
          </w:p>
        </w:tc>
        <w:tc>
          <w:tcPr>
            <w:tcW w:w="1276" w:type="dxa"/>
            <w:shd w:val="clear" w:color="auto" w:fill="002060"/>
            <w:vAlign w:val="center"/>
          </w:tcPr>
          <w:p w14:paraId="5EEC72F1" w14:textId="77777777" w:rsidR="00BD6AC1" w:rsidRPr="00FA688B" w:rsidRDefault="00BD6AC1" w:rsidP="00FA688B">
            <w:p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p>
        </w:tc>
        <w:tc>
          <w:tcPr>
            <w:tcW w:w="6089" w:type="dxa"/>
          </w:tcPr>
          <w:p w14:paraId="30025FE4" w14:textId="46C6F028" w:rsidR="00BD6AC1" w:rsidRPr="00FA688B" w:rsidRDefault="00BD6AC1" w:rsidP="00FA688B">
            <w:pPr>
              <w:cnfStyle w:val="000000000000" w:firstRow="0" w:lastRow="0" w:firstColumn="0" w:lastColumn="0" w:oddVBand="0" w:evenVBand="0" w:oddHBand="0" w:evenHBand="0" w:firstRowFirstColumn="0" w:firstRowLastColumn="0" w:lastRowFirstColumn="0" w:lastRowLastColumn="0"/>
              <w:rPr>
                <w:rFonts w:ascii="IBM Plex Sans" w:hAnsi="IBM Plex Sans" w:cs="Arial"/>
                <w:b/>
                <w:bCs/>
                <w:sz w:val="20"/>
                <w:szCs w:val="20"/>
                <w:u w:val="single"/>
              </w:rPr>
            </w:pPr>
            <w:r w:rsidRPr="00FA688B">
              <w:rPr>
                <w:rFonts w:ascii="IBM Plex Sans" w:hAnsi="IBM Plex Sans" w:cs="Arial"/>
                <w:b/>
                <w:bCs/>
                <w:sz w:val="20"/>
                <w:szCs w:val="20"/>
                <w:u w:val="single"/>
              </w:rPr>
              <w:t>Ambientales</w:t>
            </w:r>
          </w:p>
        </w:tc>
      </w:tr>
      <w:tr w:rsidR="00BD6AC1" w14:paraId="33F5FC64" w14:textId="77777777" w:rsidTr="00B17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002060"/>
            <w:vAlign w:val="center"/>
          </w:tcPr>
          <w:p w14:paraId="7D105473" w14:textId="77777777" w:rsidR="00BD6AC1" w:rsidRPr="00FA688B" w:rsidRDefault="00BD6AC1" w:rsidP="00FA688B">
            <w:pPr>
              <w:rPr>
                <w:rFonts w:ascii="IBM Plex Sans" w:hAnsi="IBM Plex Sans" w:cs="Arial"/>
                <w:sz w:val="20"/>
                <w:szCs w:val="20"/>
              </w:rPr>
            </w:pPr>
          </w:p>
        </w:tc>
        <w:tc>
          <w:tcPr>
            <w:tcW w:w="1276" w:type="dxa"/>
            <w:shd w:val="clear" w:color="auto" w:fill="002060"/>
            <w:vAlign w:val="center"/>
          </w:tcPr>
          <w:p w14:paraId="7684C7EC" w14:textId="2C3A7DB4" w:rsidR="00BD6AC1" w:rsidRPr="00FA688B" w:rsidRDefault="00FC37E3" w:rsidP="00FA688B">
            <w:p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29</w:t>
            </w:r>
          </w:p>
        </w:tc>
        <w:tc>
          <w:tcPr>
            <w:tcW w:w="6089" w:type="dxa"/>
          </w:tcPr>
          <w:p w14:paraId="5EF68FC2" w14:textId="1B51EAF8" w:rsidR="00BD6AC1" w:rsidRPr="00FA688B" w:rsidRDefault="00BD6AC1" w:rsidP="00FA688B">
            <w:p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Contaminación (por ejemplo: emisiones, calidad del aire, entre otros)</w:t>
            </w:r>
          </w:p>
        </w:tc>
      </w:tr>
      <w:tr w:rsidR="00BD6AC1" w14:paraId="6C34BBC9" w14:textId="77777777" w:rsidTr="00B17685">
        <w:tc>
          <w:tcPr>
            <w:cnfStyle w:val="001000000000" w:firstRow="0" w:lastRow="0" w:firstColumn="1" w:lastColumn="0" w:oddVBand="0" w:evenVBand="0" w:oddHBand="0" w:evenHBand="0" w:firstRowFirstColumn="0" w:firstRowLastColumn="0" w:lastRowFirstColumn="0" w:lastRowLastColumn="0"/>
            <w:tcW w:w="1129" w:type="dxa"/>
            <w:shd w:val="clear" w:color="auto" w:fill="002060"/>
            <w:vAlign w:val="center"/>
          </w:tcPr>
          <w:p w14:paraId="2F5281F2" w14:textId="77777777" w:rsidR="00BD6AC1" w:rsidRPr="00FA688B" w:rsidRDefault="00BD6AC1" w:rsidP="00FA688B">
            <w:pPr>
              <w:rPr>
                <w:rFonts w:ascii="IBM Plex Sans" w:hAnsi="IBM Plex Sans" w:cs="Arial"/>
                <w:sz w:val="20"/>
                <w:szCs w:val="20"/>
              </w:rPr>
            </w:pPr>
          </w:p>
        </w:tc>
        <w:tc>
          <w:tcPr>
            <w:tcW w:w="1276" w:type="dxa"/>
            <w:shd w:val="clear" w:color="auto" w:fill="002060"/>
            <w:vAlign w:val="center"/>
          </w:tcPr>
          <w:p w14:paraId="0B4FE075" w14:textId="08CD4662" w:rsidR="00BD6AC1" w:rsidRPr="00FA688B" w:rsidRDefault="00BD6AC1" w:rsidP="00FA688B">
            <w:p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3</w:t>
            </w:r>
            <w:r w:rsidR="00FC37E3" w:rsidRPr="00FA688B">
              <w:rPr>
                <w:rFonts w:ascii="IBM Plex Sans" w:hAnsi="IBM Plex Sans" w:cs="Arial"/>
                <w:sz w:val="20"/>
                <w:szCs w:val="20"/>
              </w:rPr>
              <w:t>0</w:t>
            </w:r>
          </w:p>
        </w:tc>
        <w:tc>
          <w:tcPr>
            <w:tcW w:w="6089" w:type="dxa"/>
          </w:tcPr>
          <w:p w14:paraId="12629D2E" w14:textId="4E4E4149" w:rsidR="00BD6AC1" w:rsidRPr="00FA688B" w:rsidRDefault="00BD6AC1" w:rsidP="00FA688B">
            <w:p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Energía</w:t>
            </w:r>
          </w:p>
        </w:tc>
      </w:tr>
      <w:tr w:rsidR="00BD6AC1" w14:paraId="1F22506B" w14:textId="77777777" w:rsidTr="00B17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002060"/>
            <w:vAlign w:val="center"/>
          </w:tcPr>
          <w:p w14:paraId="017748C6" w14:textId="77777777" w:rsidR="00BD6AC1" w:rsidRPr="00FA688B" w:rsidRDefault="00BD6AC1" w:rsidP="00FA688B">
            <w:pPr>
              <w:rPr>
                <w:rFonts w:ascii="IBM Plex Sans" w:hAnsi="IBM Plex Sans" w:cs="Arial"/>
                <w:sz w:val="20"/>
                <w:szCs w:val="20"/>
              </w:rPr>
            </w:pPr>
          </w:p>
        </w:tc>
        <w:tc>
          <w:tcPr>
            <w:tcW w:w="1276" w:type="dxa"/>
            <w:shd w:val="clear" w:color="auto" w:fill="002060"/>
            <w:vAlign w:val="center"/>
          </w:tcPr>
          <w:p w14:paraId="582F866E" w14:textId="34132380" w:rsidR="00BD6AC1" w:rsidRPr="00FA688B" w:rsidRDefault="00BD6AC1" w:rsidP="00FA688B">
            <w:p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3</w:t>
            </w:r>
            <w:r w:rsidR="00FC37E3" w:rsidRPr="00FA688B">
              <w:rPr>
                <w:rFonts w:ascii="IBM Plex Sans" w:hAnsi="IBM Plex Sans" w:cs="Arial"/>
                <w:sz w:val="20"/>
                <w:szCs w:val="20"/>
              </w:rPr>
              <w:t>1</w:t>
            </w:r>
          </w:p>
        </w:tc>
        <w:tc>
          <w:tcPr>
            <w:tcW w:w="6089" w:type="dxa"/>
          </w:tcPr>
          <w:p w14:paraId="32451423" w14:textId="7E5B572E" w:rsidR="00BD6AC1" w:rsidRPr="00FA688B" w:rsidRDefault="00BD6AC1" w:rsidP="00FA688B">
            <w:p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Recurso hídrico</w:t>
            </w:r>
          </w:p>
        </w:tc>
      </w:tr>
      <w:tr w:rsidR="00BD6AC1" w14:paraId="7BEA57C2" w14:textId="77777777" w:rsidTr="00B17685">
        <w:tc>
          <w:tcPr>
            <w:cnfStyle w:val="001000000000" w:firstRow="0" w:lastRow="0" w:firstColumn="1" w:lastColumn="0" w:oddVBand="0" w:evenVBand="0" w:oddHBand="0" w:evenHBand="0" w:firstRowFirstColumn="0" w:firstRowLastColumn="0" w:lastRowFirstColumn="0" w:lastRowLastColumn="0"/>
            <w:tcW w:w="1129" w:type="dxa"/>
            <w:shd w:val="clear" w:color="auto" w:fill="002060"/>
            <w:vAlign w:val="center"/>
          </w:tcPr>
          <w:p w14:paraId="5596CDDA" w14:textId="77777777" w:rsidR="00BD6AC1" w:rsidRPr="00FA688B" w:rsidRDefault="00BD6AC1" w:rsidP="00FA688B">
            <w:pPr>
              <w:rPr>
                <w:rFonts w:ascii="IBM Plex Sans" w:hAnsi="IBM Plex Sans" w:cs="Arial"/>
                <w:sz w:val="20"/>
                <w:szCs w:val="20"/>
              </w:rPr>
            </w:pPr>
          </w:p>
        </w:tc>
        <w:tc>
          <w:tcPr>
            <w:tcW w:w="1276" w:type="dxa"/>
            <w:shd w:val="clear" w:color="auto" w:fill="002060"/>
            <w:vAlign w:val="center"/>
          </w:tcPr>
          <w:p w14:paraId="15640DEC" w14:textId="55887845" w:rsidR="00BD6AC1" w:rsidRPr="00FA688B" w:rsidRDefault="00BD6AC1" w:rsidP="00FA688B">
            <w:p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3</w:t>
            </w:r>
            <w:r w:rsidR="00FC37E3" w:rsidRPr="00FA688B">
              <w:rPr>
                <w:rFonts w:ascii="IBM Plex Sans" w:hAnsi="IBM Plex Sans" w:cs="Arial"/>
                <w:sz w:val="20"/>
                <w:szCs w:val="20"/>
              </w:rPr>
              <w:t>2</w:t>
            </w:r>
          </w:p>
        </w:tc>
        <w:tc>
          <w:tcPr>
            <w:tcW w:w="6089" w:type="dxa"/>
          </w:tcPr>
          <w:p w14:paraId="3A76D586" w14:textId="71B1626B" w:rsidR="00BD6AC1" w:rsidRPr="00FA688B" w:rsidRDefault="00BD6AC1" w:rsidP="00FA688B">
            <w:p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Residuos sólidos</w:t>
            </w:r>
          </w:p>
        </w:tc>
      </w:tr>
      <w:tr w:rsidR="00BD6AC1" w14:paraId="2B40E86A" w14:textId="77777777" w:rsidTr="00B17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002060"/>
            <w:vAlign w:val="center"/>
          </w:tcPr>
          <w:p w14:paraId="14DA4806" w14:textId="77777777" w:rsidR="00BD6AC1" w:rsidRPr="00FA688B" w:rsidRDefault="00BD6AC1" w:rsidP="00FA688B">
            <w:pPr>
              <w:rPr>
                <w:rFonts w:ascii="IBM Plex Sans" w:hAnsi="IBM Plex Sans" w:cs="Arial"/>
                <w:sz w:val="20"/>
                <w:szCs w:val="20"/>
              </w:rPr>
            </w:pPr>
          </w:p>
        </w:tc>
        <w:tc>
          <w:tcPr>
            <w:tcW w:w="1276" w:type="dxa"/>
            <w:shd w:val="clear" w:color="auto" w:fill="002060"/>
            <w:vAlign w:val="center"/>
          </w:tcPr>
          <w:p w14:paraId="1509BE96" w14:textId="57CFF78B" w:rsidR="00BD6AC1" w:rsidRPr="00FA688B" w:rsidRDefault="00BD6AC1" w:rsidP="00FA688B">
            <w:p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3</w:t>
            </w:r>
            <w:r w:rsidR="00FC37E3" w:rsidRPr="00FA688B">
              <w:rPr>
                <w:rFonts w:ascii="IBM Plex Sans" w:hAnsi="IBM Plex Sans" w:cs="Arial"/>
                <w:sz w:val="20"/>
                <w:szCs w:val="20"/>
              </w:rPr>
              <w:t>3</w:t>
            </w:r>
          </w:p>
        </w:tc>
        <w:tc>
          <w:tcPr>
            <w:tcW w:w="6089" w:type="dxa"/>
          </w:tcPr>
          <w:p w14:paraId="31E14C82" w14:textId="56F8D876" w:rsidR="00BD6AC1" w:rsidRPr="00FA688B" w:rsidRDefault="00BD6AC1" w:rsidP="00FA688B">
            <w:p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Transporte y movilidad</w:t>
            </w:r>
          </w:p>
        </w:tc>
      </w:tr>
      <w:tr w:rsidR="00BD6AC1" w14:paraId="17E619DF" w14:textId="77777777" w:rsidTr="00B17685">
        <w:tc>
          <w:tcPr>
            <w:cnfStyle w:val="001000000000" w:firstRow="0" w:lastRow="0" w:firstColumn="1" w:lastColumn="0" w:oddVBand="0" w:evenVBand="0" w:oddHBand="0" w:evenHBand="0" w:firstRowFirstColumn="0" w:firstRowLastColumn="0" w:lastRowFirstColumn="0" w:lastRowLastColumn="0"/>
            <w:tcW w:w="1129" w:type="dxa"/>
            <w:shd w:val="clear" w:color="auto" w:fill="002060"/>
            <w:vAlign w:val="center"/>
          </w:tcPr>
          <w:p w14:paraId="56673964" w14:textId="77777777" w:rsidR="00BD6AC1" w:rsidRPr="00FA688B" w:rsidRDefault="00BD6AC1" w:rsidP="00FA688B">
            <w:pPr>
              <w:rPr>
                <w:rFonts w:ascii="IBM Plex Sans" w:hAnsi="IBM Plex Sans" w:cs="Arial"/>
                <w:sz w:val="20"/>
                <w:szCs w:val="20"/>
              </w:rPr>
            </w:pPr>
          </w:p>
        </w:tc>
        <w:tc>
          <w:tcPr>
            <w:tcW w:w="1276" w:type="dxa"/>
            <w:shd w:val="clear" w:color="auto" w:fill="002060"/>
            <w:vAlign w:val="center"/>
          </w:tcPr>
          <w:p w14:paraId="5111A2FE" w14:textId="3B4C5439" w:rsidR="00BD6AC1" w:rsidRPr="00FA688B" w:rsidRDefault="00BD6AC1" w:rsidP="00FA688B">
            <w:p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3</w:t>
            </w:r>
            <w:r w:rsidR="00FC37E3" w:rsidRPr="00FA688B">
              <w:rPr>
                <w:rFonts w:ascii="IBM Plex Sans" w:hAnsi="IBM Plex Sans" w:cs="Arial"/>
                <w:sz w:val="20"/>
                <w:szCs w:val="20"/>
              </w:rPr>
              <w:t>4</w:t>
            </w:r>
          </w:p>
        </w:tc>
        <w:tc>
          <w:tcPr>
            <w:tcW w:w="6089" w:type="dxa"/>
          </w:tcPr>
          <w:p w14:paraId="2CA6D92B" w14:textId="311019A7" w:rsidR="00BD6AC1" w:rsidRPr="00FA688B" w:rsidRDefault="00BD6AC1" w:rsidP="00FA688B">
            <w:p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Otras ambientales</w:t>
            </w:r>
          </w:p>
        </w:tc>
      </w:tr>
      <w:tr w:rsidR="00BD6AC1" w14:paraId="2E12A739" w14:textId="77777777" w:rsidTr="00B17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002060"/>
            <w:vAlign w:val="center"/>
          </w:tcPr>
          <w:p w14:paraId="4CBD206F" w14:textId="35324334" w:rsidR="00BD6AC1" w:rsidRPr="00FA688B" w:rsidRDefault="00BD6AC1" w:rsidP="00FA688B">
            <w:pPr>
              <w:rPr>
                <w:rFonts w:ascii="IBM Plex Sans" w:hAnsi="IBM Plex Sans" w:cs="Arial"/>
                <w:sz w:val="20"/>
                <w:szCs w:val="20"/>
              </w:rPr>
            </w:pPr>
            <w:r w:rsidRPr="00FA688B">
              <w:rPr>
                <w:rFonts w:ascii="IBM Plex Sans" w:hAnsi="IBM Plex Sans" w:cs="Arial"/>
                <w:sz w:val="20"/>
                <w:szCs w:val="20"/>
              </w:rPr>
              <w:t>3</w:t>
            </w:r>
            <w:r w:rsidR="00FC37E3" w:rsidRPr="00FA688B">
              <w:rPr>
                <w:rFonts w:ascii="IBM Plex Sans" w:hAnsi="IBM Plex Sans" w:cs="Arial"/>
                <w:sz w:val="20"/>
                <w:szCs w:val="20"/>
              </w:rPr>
              <w:t>5</w:t>
            </w:r>
          </w:p>
        </w:tc>
        <w:tc>
          <w:tcPr>
            <w:tcW w:w="1276" w:type="dxa"/>
            <w:shd w:val="clear" w:color="auto" w:fill="002060"/>
            <w:vAlign w:val="center"/>
          </w:tcPr>
          <w:p w14:paraId="0E921460" w14:textId="77777777" w:rsidR="00BD6AC1" w:rsidRPr="00FA688B" w:rsidRDefault="00BD6AC1" w:rsidP="00FA688B">
            <w:p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p>
        </w:tc>
        <w:tc>
          <w:tcPr>
            <w:tcW w:w="6089" w:type="dxa"/>
          </w:tcPr>
          <w:p w14:paraId="15245662" w14:textId="0F2EDD0F" w:rsidR="00BD6AC1" w:rsidRPr="00FA688B" w:rsidRDefault="00BD6AC1" w:rsidP="00FA688B">
            <w:pPr>
              <w:cnfStyle w:val="000000100000" w:firstRow="0" w:lastRow="0" w:firstColumn="0" w:lastColumn="0" w:oddVBand="0" w:evenVBand="0" w:oddHBand="1" w:evenHBand="0" w:firstRowFirstColumn="0" w:firstRowLastColumn="0" w:lastRowFirstColumn="0" w:lastRowLastColumn="0"/>
              <w:rPr>
                <w:rFonts w:ascii="IBM Plex Sans" w:hAnsi="IBM Plex Sans" w:cs="Arial"/>
                <w:b/>
                <w:bCs/>
                <w:sz w:val="20"/>
                <w:szCs w:val="20"/>
                <w:u w:val="single"/>
              </w:rPr>
            </w:pPr>
            <w:r w:rsidRPr="00FA688B">
              <w:rPr>
                <w:rFonts w:ascii="IBM Plex Sans" w:hAnsi="IBM Plex Sans" w:cs="Arial"/>
                <w:b/>
                <w:bCs/>
                <w:sz w:val="20"/>
                <w:szCs w:val="20"/>
                <w:u w:val="single"/>
              </w:rPr>
              <w:t>Gobierno y Administración Pública</w:t>
            </w:r>
          </w:p>
        </w:tc>
      </w:tr>
      <w:tr w:rsidR="00BD6AC1" w14:paraId="0F74AFC5" w14:textId="77777777" w:rsidTr="00B17685">
        <w:tc>
          <w:tcPr>
            <w:cnfStyle w:val="001000000000" w:firstRow="0" w:lastRow="0" w:firstColumn="1" w:lastColumn="0" w:oddVBand="0" w:evenVBand="0" w:oddHBand="0" w:evenHBand="0" w:firstRowFirstColumn="0" w:firstRowLastColumn="0" w:lastRowFirstColumn="0" w:lastRowLastColumn="0"/>
            <w:tcW w:w="1129" w:type="dxa"/>
            <w:shd w:val="clear" w:color="auto" w:fill="002060"/>
            <w:vAlign w:val="center"/>
          </w:tcPr>
          <w:p w14:paraId="08B43BC9" w14:textId="77777777" w:rsidR="00BD6AC1" w:rsidRPr="00FA688B" w:rsidRDefault="00BD6AC1" w:rsidP="00FA688B">
            <w:pPr>
              <w:rPr>
                <w:rFonts w:ascii="IBM Plex Sans" w:hAnsi="IBM Plex Sans" w:cs="Arial"/>
                <w:sz w:val="20"/>
                <w:szCs w:val="20"/>
              </w:rPr>
            </w:pPr>
          </w:p>
        </w:tc>
        <w:tc>
          <w:tcPr>
            <w:tcW w:w="1276" w:type="dxa"/>
            <w:shd w:val="clear" w:color="auto" w:fill="002060"/>
            <w:vAlign w:val="center"/>
          </w:tcPr>
          <w:p w14:paraId="056648EB" w14:textId="61641413" w:rsidR="00BD6AC1" w:rsidRPr="00FA688B" w:rsidRDefault="00FC37E3" w:rsidP="00FA688B">
            <w:p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36</w:t>
            </w:r>
          </w:p>
        </w:tc>
        <w:tc>
          <w:tcPr>
            <w:tcW w:w="6089" w:type="dxa"/>
          </w:tcPr>
          <w:p w14:paraId="40080A01" w14:textId="08AF208D" w:rsidR="00BD6AC1" w:rsidRPr="00FA688B" w:rsidRDefault="00BD6AC1" w:rsidP="00FA688B">
            <w:p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Administración tributaria</w:t>
            </w:r>
          </w:p>
        </w:tc>
      </w:tr>
      <w:tr w:rsidR="00BD6AC1" w14:paraId="1CA4CAE8" w14:textId="77777777" w:rsidTr="00B17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002060"/>
            <w:vAlign w:val="center"/>
          </w:tcPr>
          <w:p w14:paraId="1C07ECF1" w14:textId="77777777" w:rsidR="00BD6AC1" w:rsidRPr="00FA688B" w:rsidRDefault="00BD6AC1" w:rsidP="00FA688B">
            <w:pPr>
              <w:rPr>
                <w:rFonts w:ascii="IBM Plex Sans" w:hAnsi="IBM Plex Sans" w:cs="Arial"/>
                <w:sz w:val="20"/>
                <w:szCs w:val="20"/>
              </w:rPr>
            </w:pPr>
          </w:p>
        </w:tc>
        <w:tc>
          <w:tcPr>
            <w:tcW w:w="1276" w:type="dxa"/>
            <w:shd w:val="clear" w:color="auto" w:fill="002060"/>
            <w:vAlign w:val="center"/>
          </w:tcPr>
          <w:p w14:paraId="77199D35" w14:textId="0ECDF897" w:rsidR="00BD6AC1" w:rsidRPr="00FA688B" w:rsidRDefault="00BD6AC1" w:rsidP="00FA688B">
            <w:p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3</w:t>
            </w:r>
            <w:r w:rsidR="00FC37E3" w:rsidRPr="00FA688B">
              <w:rPr>
                <w:rFonts w:ascii="IBM Plex Sans" w:hAnsi="IBM Plex Sans" w:cs="Arial"/>
                <w:sz w:val="20"/>
                <w:szCs w:val="20"/>
              </w:rPr>
              <w:t>7</w:t>
            </w:r>
          </w:p>
        </w:tc>
        <w:tc>
          <w:tcPr>
            <w:tcW w:w="6089" w:type="dxa"/>
          </w:tcPr>
          <w:p w14:paraId="2CB0FB48" w14:textId="31F37957" w:rsidR="00BD6AC1" w:rsidRPr="00FA688B" w:rsidRDefault="00BD6AC1" w:rsidP="00FA688B">
            <w:p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Cooperación internacional</w:t>
            </w:r>
          </w:p>
        </w:tc>
      </w:tr>
      <w:tr w:rsidR="00BD6AC1" w14:paraId="43161126" w14:textId="77777777" w:rsidTr="00B17685">
        <w:tc>
          <w:tcPr>
            <w:cnfStyle w:val="001000000000" w:firstRow="0" w:lastRow="0" w:firstColumn="1" w:lastColumn="0" w:oddVBand="0" w:evenVBand="0" w:oddHBand="0" w:evenHBand="0" w:firstRowFirstColumn="0" w:firstRowLastColumn="0" w:lastRowFirstColumn="0" w:lastRowLastColumn="0"/>
            <w:tcW w:w="1129" w:type="dxa"/>
            <w:shd w:val="clear" w:color="auto" w:fill="002060"/>
            <w:vAlign w:val="center"/>
          </w:tcPr>
          <w:p w14:paraId="4F512DE6" w14:textId="77777777" w:rsidR="00BD6AC1" w:rsidRPr="00FA688B" w:rsidRDefault="00BD6AC1" w:rsidP="00FA688B">
            <w:pPr>
              <w:rPr>
                <w:rFonts w:ascii="IBM Plex Sans" w:hAnsi="IBM Plex Sans" w:cs="Arial"/>
                <w:sz w:val="20"/>
                <w:szCs w:val="20"/>
              </w:rPr>
            </w:pPr>
          </w:p>
        </w:tc>
        <w:tc>
          <w:tcPr>
            <w:tcW w:w="1276" w:type="dxa"/>
            <w:shd w:val="clear" w:color="auto" w:fill="002060"/>
            <w:vAlign w:val="center"/>
          </w:tcPr>
          <w:p w14:paraId="785ABF12" w14:textId="18EB242D" w:rsidR="00BD6AC1" w:rsidRPr="00FA688B" w:rsidRDefault="00FC37E3" w:rsidP="00FA688B">
            <w:p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38</w:t>
            </w:r>
          </w:p>
        </w:tc>
        <w:tc>
          <w:tcPr>
            <w:tcW w:w="6089" w:type="dxa"/>
          </w:tcPr>
          <w:p w14:paraId="4C6112AB" w14:textId="2FB3EC4A" w:rsidR="00BD6AC1" w:rsidRPr="00FA688B" w:rsidRDefault="00BD6AC1" w:rsidP="00FA688B">
            <w:p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Empleo público</w:t>
            </w:r>
          </w:p>
        </w:tc>
      </w:tr>
      <w:tr w:rsidR="00BD6AC1" w14:paraId="21BE4D0E" w14:textId="77777777" w:rsidTr="00B17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002060"/>
            <w:vAlign w:val="center"/>
          </w:tcPr>
          <w:p w14:paraId="5939957A" w14:textId="77777777" w:rsidR="00BD6AC1" w:rsidRPr="00FA688B" w:rsidRDefault="00BD6AC1" w:rsidP="00FA688B">
            <w:pPr>
              <w:rPr>
                <w:rFonts w:ascii="IBM Plex Sans" w:hAnsi="IBM Plex Sans" w:cs="Arial"/>
                <w:sz w:val="20"/>
                <w:szCs w:val="20"/>
              </w:rPr>
            </w:pPr>
          </w:p>
        </w:tc>
        <w:tc>
          <w:tcPr>
            <w:tcW w:w="1276" w:type="dxa"/>
            <w:shd w:val="clear" w:color="auto" w:fill="002060"/>
            <w:vAlign w:val="center"/>
          </w:tcPr>
          <w:p w14:paraId="11284749" w14:textId="37EDE7E0" w:rsidR="00BD6AC1" w:rsidRPr="00FA688B" w:rsidRDefault="00FC37E3" w:rsidP="00FA688B">
            <w:p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39</w:t>
            </w:r>
          </w:p>
        </w:tc>
        <w:tc>
          <w:tcPr>
            <w:tcW w:w="6089" w:type="dxa"/>
          </w:tcPr>
          <w:p w14:paraId="51436674" w14:textId="79F7A9D6" w:rsidR="00BD6AC1" w:rsidRPr="00FA688B" w:rsidRDefault="00BD6AC1" w:rsidP="00FA688B">
            <w:p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Exoneraciones</w:t>
            </w:r>
          </w:p>
        </w:tc>
      </w:tr>
      <w:tr w:rsidR="00BD6AC1" w14:paraId="0D6365FF" w14:textId="77777777" w:rsidTr="00B17685">
        <w:tc>
          <w:tcPr>
            <w:cnfStyle w:val="001000000000" w:firstRow="0" w:lastRow="0" w:firstColumn="1" w:lastColumn="0" w:oddVBand="0" w:evenVBand="0" w:oddHBand="0" w:evenHBand="0" w:firstRowFirstColumn="0" w:firstRowLastColumn="0" w:lastRowFirstColumn="0" w:lastRowLastColumn="0"/>
            <w:tcW w:w="1129" w:type="dxa"/>
            <w:shd w:val="clear" w:color="auto" w:fill="002060"/>
            <w:vAlign w:val="center"/>
          </w:tcPr>
          <w:p w14:paraId="11152FBF" w14:textId="77777777" w:rsidR="00BD6AC1" w:rsidRPr="00FA688B" w:rsidRDefault="00BD6AC1" w:rsidP="00FA688B">
            <w:pPr>
              <w:rPr>
                <w:rFonts w:ascii="IBM Plex Sans" w:hAnsi="IBM Plex Sans" w:cs="Arial"/>
                <w:sz w:val="20"/>
                <w:szCs w:val="20"/>
              </w:rPr>
            </w:pPr>
          </w:p>
        </w:tc>
        <w:tc>
          <w:tcPr>
            <w:tcW w:w="1276" w:type="dxa"/>
            <w:shd w:val="clear" w:color="auto" w:fill="002060"/>
            <w:vAlign w:val="center"/>
          </w:tcPr>
          <w:p w14:paraId="74D57D89" w14:textId="433AE3E6" w:rsidR="00BD6AC1" w:rsidRPr="00FA688B" w:rsidRDefault="00BD6AC1" w:rsidP="00FA688B">
            <w:p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4</w:t>
            </w:r>
            <w:r w:rsidR="00FC37E3" w:rsidRPr="00FA688B">
              <w:rPr>
                <w:rFonts w:ascii="IBM Plex Sans" w:hAnsi="IBM Plex Sans" w:cs="Arial"/>
                <w:sz w:val="20"/>
                <w:szCs w:val="20"/>
              </w:rPr>
              <w:t>0</w:t>
            </w:r>
          </w:p>
        </w:tc>
        <w:tc>
          <w:tcPr>
            <w:tcW w:w="6089" w:type="dxa"/>
          </w:tcPr>
          <w:p w14:paraId="3D3DF817" w14:textId="73539C49" w:rsidR="00BD6AC1" w:rsidRPr="00FA688B" w:rsidRDefault="00BD6AC1" w:rsidP="00FA688B">
            <w:p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Fiscalización y rendición de cuentas</w:t>
            </w:r>
          </w:p>
        </w:tc>
      </w:tr>
      <w:tr w:rsidR="00BD6AC1" w14:paraId="31C4536D" w14:textId="77777777" w:rsidTr="00B17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002060"/>
            <w:vAlign w:val="center"/>
          </w:tcPr>
          <w:p w14:paraId="7A1D6A5F" w14:textId="77777777" w:rsidR="00BD6AC1" w:rsidRPr="00FA688B" w:rsidRDefault="00BD6AC1" w:rsidP="00FA688B">
            <w:pPr>
              <w:rPr>
                <w:rFonts w:ascii="IBM Plex Sans" w:hAnsi="IBM Plex Sans" w:cs="Arial"/>
                <w:sz w:val="20"/>
                <w:szCs w:val="20"/>
              </w:rPr>
            </w:pPr>
          </w:p>
        </w:tc>
        <w:tc>
          <w:tcPr>
            <w:tcW w:w="1276" w:type="dxa"/>
            <w:shd w:val="clear" w:color="auto" w:fill="002060"/>
            <w:vAlign w:val="center"/>
          </w:tcPr>
          <w:p w14:paraId="5586B51F" w14:textId="1E11FFCD" w:rsidR="00BD6AC1" w:rsidRPr="00FA688B" w:rsidRDefault="00BD6AC1" w:rsidP="00FA688B">
            <w:p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4</w:t>
            </w:r>
            <w:r w:rsidR="00FC37E3" w:rsidRPr="00FA688B">
              <w:rPr>
                <w:rFonts w:ascii="IBM Plex Sans" w:hAnsi="IBM Plex Sans" w:cs="Arial"/>
                <w:sz w:val="20"/>
                <w:szCs w:val="20"/>
              </w:rPr>
              <w:t>1</w:t>
            </w:r>
          </w:p>
        </w:tc>
        <w:tc>
          <w:tcPr>
            <w:tcW w:w="6089" w:type="dxa"/>
          </w:tcPr>
          <w:p w14:paraId="2BDF54C8" w14:textId="5DC22E0C" w:rsidR="00BD6AC1" w:rsidRPr="00FA688B" w:rsidRDefault="00BD6AC1" w:rsidP="00FA688B">
            <w:p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Gasto y finanzas públicas (por ejemplo: déficit y deuda pública)</w:t>
            </w:r>
          </w:p>
        </w:tc>
      </w:tr>
      <w:tr w:rsidR="00BD6AC1" w14:paraId="16B9C4FB" w14:textId="77777777" w:rsidTr="00B17685">
        <w:tc>
          <w:tcPr>
            <w:cnfStyle w:val="001000000000" w:firstRow="0" w:lastRow="0" w:firstColumn="1" w:lastColumn="0" w:oddVBand="0" w:evenVBand="0" w:oddHBand="0" w:evenHBand="0" w:firstRowFirstColumn="0" w:firstRowLastColumn="0" w:lastRowFirstColumn="0" w:lastRowLastColumn="0"/>
            <w:tcW w:w="1129" w:type="dxa"/>
            <w:shd w:val="clear" w:color="auto" w:fill="002060"/>
            <w:vAlign w:val="center"/>
          </w:tcPr>
          <w:p w14:paraId="28098741" w14:textId="77777777" w:rsidR="00BD6AC1" w:rsidRPr="00FA688B" w:rsidRDefault="00BD6AC1" w:rsidP="00FA688B">
            <w:pPr>
              <w:rPr>
                <w:rFonts w:ascii="IBM Plex Sans" w:hAnsi="IBM Plex Sans" w:cs="Arial"/>
                <w:sz w:val="20"/>
                <w:szCs w:val="20"/>
              </w:rPr>
            </w:pPr>
          </w:p>
        </w:tc>
        <w:tc>
          <w:tcPr>
            <w:tcW w:w="1276" w:type="dxa"/>
            <w:shd w:val="clear" w:color="auto" w:fill="002060"/>
            <w:vAlign w:val="center"/>
          </w:tcPr>
          <w:p w14:paraId="1096956B" w14:textId="14AA3605" w:rsidR="00BD6AC1" w:rsidRPr="00FA688B" w:rsidRDefault="00BD6AC1" w:rsidP="00FA688B">
            <w:p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4</w:t>
            </w:r>
            <w:r w:rsidR="00FC37E3" w:rsidRPr="00FA688B">
              <w:rPr>
                <w:rFonts w:ascii="IBM Plex Sans" w:hAnsi="IBM Plex Sans" w:cs="Arial"/>
                <w:sz w:val="20"/>
                <w:szCs w:val="20"/>
              </w:rPr>
              <w:t>2</w:t>
            </w:r>
          </w:p>
        </w:tc>
        <w:tc>
          <w:tcPr>
            <w:tcW w:w="6089" w:type="dxa"/>
          </w:tcPr>
          <w:p w14:paraId="7BEEE450" w14:textId="13E91A5E" w:rsidR="00BD6AC1" w:rsidRPr="00FA688B" w:rsidRDefault="00BD6AC1" w:rsidP="00FA688B">
            <w:p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Gobierno local y comunidades</w:t>
            </w:r>
          </w:p>
        </w:tc>
      </w:tr>
      <w:tr w:rsidR="00BD6AC1" w14:paraId="639ACF44" w14:textId="77777777" w:rsidTr="00B17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002060"/>
            <w:vAlign w:val="center"/>
          </w:tcPr>
          <w:p w14:paraId="60029AA4" w14:textId="77777777" w:rsidR="00BD6AC1" w:rsidRPr="00FA688B" w:rsidRDefault="00BD6AC1" w:rsidP="00FA688B">
            <w:pPr>
              <w:rPr>
                <w:rFonts w:ascii="IBM Plex Sans" w:hAnsi="IBM Plex Sans" w:cs="Arial"/>
                <w:sz w:val="20"/>
                <w:szCs w:val="20"/>
              </w:rPr>
            </w:pPr>
          </w:p>
        </w:tc>
        <w:tc>
          <w:tcPr>
            <w:tcW w:w="1276" w:type="dxa"/>
            <w:shd w:val="clear" w:color="auto" w:fill="002060"/>
            <w:vAlign w:val="center"/>
          </w:tcPr>
          <w:p w14:paraId="5EF36F9A" w14:textId="1A530A25" w:rsidR="00BD6AC1" w:rsidRPr="00FA688B" w:rsidRDefault="00BD6AC1" w:rsidP="00FA688B">
            <w:p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4</w:t>
            </w:r>
            <w:r w:rsidR="00FC37E3" w:rsidRPr="00FA688B">
              <w:rPr>
                <w:rFonts w:ascii="IBM Plex Sans" w:hAnsi="IBM Plex Sans" w:cs="Arial"/>
                <w:sz w:val="20"/>
                <w:szCs w:val="20"/>
              </w:rPr>
              <w:t>3</w:t>
            </w:r>
          </w:p>
        </w:tc>
        <w:tc>
          <w:tcPr>
            <w:tcW w:w="6089" w:type="dxa"/>
          </w:tcPr>
          <w:p w14:paraId="3C0D419C" w14:textId="693AE490" w:rsidR="00BD6AC1" w:rsidRPr="00FA688B" w:rsidRDefault="00BD6AC1" w:rsidP="00FA688B">
            <w:p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Impuestos</w:t>
            </w:r>
          </w:p>
        </w:tc>
      </w:tr>
      <w:tr w:rsidR="00BD6AC1" w14:paraId="49E8FAAF" w14:textId="77777777" w:rsidTr="00B17685">
        <w:tc>
          <w:tcPr>
            <w:cnfStyle w:val="001000000000" w:firstRow="0" w:lastRow="0" w:firstColumn="1" w:lastColumn="0" w:oddVBand="0" w:evenVBand="0" w:oddHBand="0" w:evenHBand="0" w:firstRowFirstColumn="0" w:firstRowLastColumn="0" w:lastRowFirstColumn="0" w:lastRowLastColumn="0"/>
            <w:tcW w:w="1129" w:type="dxa"/>
            <w:shd w:val="clear" w:color="auto" w:fill="002060"/>
            <w:vAlign w:val="center"/>
          </w:tcPr>
          <w:p w14:paraId="5F376B0E" w14:textId="77777777" w:rsidR="00BD6AC1" w:rsidRPr="00FA688B" w:rsidRDefault="00BD6AC1" w:rsidP="00FA688B">
            <w:pPr>
              <w:rPr>
                <w:rFonts w:ascii="IBM Plex Sans" w:hAnsi="IBM Plex Sans" w:cs="Arial"/>
                <w:sz w:val="20"/>
                <w:szCs w:val="20"/>
              </w:rPr>
            </w:pPr>
          </w:p>
        </w:tc>
        <w:tc>
          <w:tcPr>
            <w:tcW w:w="1276" w:type="dxa"/>
            <w:shd w:val="clear" w:color="auto" w:fill="002060"/>
            <w:vAlign w:val="center"/>
          </w:tcPr>
          <w:p w14:paraId="6C12ED92" w14:textId="1A39B3C3" w:rsidR="00BD6AC1" w:rsidRPr="00FA688B" w:rsidRDefault="00BD6AC1" w:rsidP="00FA688B">
            <w:p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4</w:t>
            </w:r>
            <w:r w:rsidR="00FC37E3" w:rsidRPr="00FA688B">
              <w:rPr>
                <w:rFonts w:ascii="IBM Plex Sans" w:hAnsi="IBM Plex Sans" w:cs="Arial"/>
                <w:sz w:val="20"/>
                <w:szCs w:val="20"/>
              </w:rPr>
              <w:t>4</w:t>
            </w:r>
          </w:p>
        </w:tc>
        <w:tc>
          <w:tcPr>
            <w:tcW w:w="6089" w:type="dxa"/>
          </w:tcPr>
          <w:p w14:paraId="2D30F30D" w14:textId="37639F89" w:rsidR="00BD6AC1" w:rsidRPr="00FA688B" w:rsidRDefault="00BD6AC1" w:rsidP="00FA688B">
            <w:p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Organización y administración interna</w:t>
            </w:r>
          </w:p>
        </w:tc>
      </w:tr>
      <w:tr w:rsidR="00BD6AC1" w14:paraId="450A5FCA" w14:textId="77777777" w:rsidTr="00B17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002060"/>
            <w:vAlign w:val="center"/>
          </w:tcPr>
          <w:p w14:paraId="5FE4E8C1" w14:textId="77777777" w:rsidR="00BD6AC1" w:rsidRPr="00FA688B" w:rsidRDefault="00BD6AC1" w:rsidP="00FA688B">
            <w:pPr>
              <w:rPr>
                <w:rFonts w:ascii="IBM Plex Sans" w:hAnsi="IBM Plex Sans" w:cs="Arial"/>
                <w:sz w:val="20"/>
                <w:szCs w:val="20"/>
              </w:rPr>
            </w:pPr>
          </w:p>
        </w:tc>
        <w:tc>
          <w:tcPr>
            <w:tcW w:w="1276" w:type="dxa"/>
            <w:shd w:val="clear" w:color="auto" w:fill="002060"/>
            <w:vAlign w:val="center"/>
          </w:tcPr>
          <w:p w14:paraId="6BC20C74" w14:textId="74090B78" w:rsidR="00BD6AC1" w:rsidRPr="00FA688B" w:rsidRDefault="00BD6AC1" w:rsidP="00FA688B">
            <w:p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4</w:t>
            </w:r>
            <w:r w:rsidR="00FC37E3" w:rsidRPr="00FA688B">
              <w:rPr>
                <w:rFonts w:ascii="IBM Plex Sans" w:hAnsi="IBM Plex Sans" w:cs="Arial"/>
                <w:sz w:val="20"/>
                <w:szCs w:val="20"/>
              </w:rPr>
              <w:t>5</w:t>
            </w:r>
          </w:p>
        </w:tc>
        <w:tc>
          <w:tcPr>
            <w:tcW w:w="6089" w:type="dxa"/>
          </w:tcPr>
          <w:p w14:paraId="0E649DE7" w14:textId="70894D65" w:rsidR="00BD6AC1" w:rsidRPr="00FA688B" w:rsidRDefault="00BD6AC1" w:rsidP="00FA688B">
            <w:p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Política exterior</w:t>
            </w:r>
          </w:p>
        </w:tc>
      </w:tr>
      <w:tr w:rsidR="00BD6AC1" w14:paraId="1FE0AEEB" w14:textId="77777777" w:rsidTr="00B17685">
        <w:tc>
          <w:tcPr>
            <w:cnfStyle w:val="001000000000" w:firstRow="0" w:lastRow="0" w:firstColumn="1" w:lastColumn="0" w:oddVBand="0" w:evenVBand="0" w:oddHBand="0" w:evenHBand="0" w:firstRowFirstColumn="0" w:firstRowLastColumn="0" w:lastRowFirstColumn="0" w:lastRowLastColumn="0"/>
            <w:tcW w:w="1129" w:type="dxa"/>
            <w:shd w:val="clear" w:color="auto" w:fill="002060"/>
            <w:vAlign w:val="center"/>
          </w:tcPr>
          <w:p w14:paraId="7C8350B8" w14:textId="77777777" w:rsidR="00BD6AC1" w:rsidRPr="00FA688B" w:rsidRDefault="00BD6AC1" w:rsidP="00FA688B">
            <w:pPr>
              <w:rPr>
                <w:rFonts w:ascii="IBM Plex Sans" w:hAnsi="IBM Plex Sans" w:cs="Arial"/>
                <w:sz w:val="20"/>
                <w:szCs w:val="20"/>
              </w:rPr>
            </w:pPr>
          </w:p>
        </w:tc>
        <w:tc>
          <w:tcPr>
            <w:tcW w:w="1276" w:type="dxa"/>
            <w:shd w:val="clear" w:color="auto" w:fill="002060"/>
            <w:vAlign w:val="center"/>
          </w:tcPr>
          <w:p w14:paraId="54BCA1D9" w14:textId="09971080" w:rsidR="00BD6AC1" w:rsidRPr="00FA688B" w:rsidRDefault="00BD6AC1" w:rsidP="00FA688B">
            <w:p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4</w:t>
            </w:r>
            <w:r w:rsidR="00FC37E3" w:rsidRPr="00FA688B">
              <w:rPr>
                <w:rFonts w:ascii="IBM Plex Sans" w:hAnsi="IBM Plex Sans" w:cs="Arial"/>
                <w:sz w:val="20"/>
                <w:szCs w:val="20"/>
              </w:rPr>
              <w:t>6</w:t>
            </w:r>
          </w:p>
        </w:tc>
        <w:tc>
          <w:tcPr>
            <w:tcW w:w="6089" w:type="dxa"/>
          </w:tcPr>
          <w:p w14:paraId="6399D72C" w14:textId="7C1E5CA0" w:rsidR="00BD6AC1" w:rsidRPr="00FA688B" w:rsidRDefault="00BD6AC1" w:rsidP="00FA688B">
            <w:p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Relaciones Ejecutivo-Legislativo</w:t>
            </w:r>
          </w:p>
        </w:tc>
      </w:tr>
      <w:tr w:rsidR="00BD6AC1" w14:paraId="602D2FBA" w14:textId="77777777" w:rsidTr="00B17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002060"/>
            <w:vAlign w:val="center"/>
          </w:tcPr>
          <w:p w14:paraId="130EF4DB" w14:textId="77777777" w:rsidR="00BD6AC1" w:rsidRPr="00FA688B" w:rsidRDefault="00BD6AC1" w:rsidP="00FA688B">
            <w:pPr>
              <w:rPr>
                <w:rFonts w:ascii="IBM Plex Sans" w:hAnsi="IBM Plex Sans" w:cs="Arial"/>
                <w:sz w:val="20"/>
                <w:szCs w:val="20"/>
              </w:rPr>
            </w:pPr>
          </w:p>
        </w:tc>
        <w:tc>
          <w:tcPr>
            <w:tcW w:w="1276" w:type="dxa"/>
            <w:shd w:val="clear" w:color="auto" w:fill="002060"/>
            <w:vAlign w:val="center"/>
          </w:tcPr>
          <w:p w14:paraId="3FD432C6" w14:textId="315061B5" w:rsidR="00BD6AC1" w:rsidRPr="00FA688B" w:rsidRDefault="00BD6AC1" w:rsidP="00FA688B">
            <w:p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4</w:t>
            </w:r>
            <w:r w:rsidR="00FC37E3" w:rsidRPr="00FA688B">
              <w:rPr>
                <w:rFonts w:ascii="IBM Plex Sans" w:hAnsi="IBM Plex Sans" w:cs="Arial"/>
                <w:sz w:val="20"/>
                <w:szCs w:val="20"/>
              </w:rPr>
              <w:t>7</w:t>
            </w:r>
          </w:p>
        </w:tc>
        <w:tc>
          <w:tcPr>
            <w:tcW w:w="6089" w:type="dxa"/>
          </w:tcPr>
          <w:p w14:paraId="4AACBF21" w14:textId="1795796D" w:rsidR="00BD6AC1" w:rsidRPr="00FA688B" w:rsidRDefault="00BD6AC1" w:rsidP="00FA688B">
            <w:p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Trámites ante instituciones públicas</w:t>
            </w:r>
          </w:p>
        </w:tc>
      </w:tr>
      <w:tr w:rsidR="00BD6AC1" w14:paraId="11D48BE0" w14:textId="77777777" w:rsidTr="00B17685">
        <w:tc>
          <w:tcPr>
            <w:cnfStyle w:val="001000000000" w:firstRow="0" w:lastRow="0" w:firstColumn="1" w:lastColumn="0" w:oddVBand="0" w:evenVBand="0" w:oddHBand="0" w:evenHBand="0" w:firstRowFirstColumn="0" w:firstRowLastColumn="0" w:lastRowFirstColumn="0" w:lastRowLastColumn="0"/>
            <w:tcW w:w="1129" w:type="dxa"/>
            <w:shd w:val="clear" w:color="auto" w:fill="002060"/>
            <w:vAlign w:val="center"/>
          </w:tcPr>
          <w:p w14:paraId="4718EE34" w14:textId="77777777" w:rsidR="00BD6AC1" w:rsidRPr="00FA688B" w:rsidRDefault="00BD6AC1" w:rsidP="00FA688B">
            <w:pPr>
              <w:rPr>
                <w:rFonts w:ascii="IBM Plex Sans" w:hAnsi="IBM Plex Sans" w:cs="Arial"/>
                <w:sz w:val="20"/>
                <w:szCs w:val="20"/>
              </w:rPr>
            </w:pPr>
          </w:p>
        </w:tc>
        <w:tc>
          <w:tcPr>
            <w:tcW w:w="1276" w:type="dxa"/>
            <w:shd w:val="clear" w:color="auto" w:fill="002060"/>
            <w:vAlign w:val="center"/>
          </w:tcPr>
          <w:p w14:paraId="22772226" w14:textId="37A12E02" w:rsidR="00BD6AC1" w:rsidRPr="00FA688B" w:rsidRDefault="00FC37E3" w:rsidP="00FA688B">
            <w:p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48</w:t>
            </w:r>
          </w:p>
        </w:tc>
        <w:tc>
          <w:tcPr>
            <w:tcW w:w="6089" w:type="dxa"/>
          </w:tcPr>
          <w:p w14:paraId="4F65DCCD" w14:textId="797A81B8" w:rsidR="00BD6AC1" w:rsidRPr="00FA688B" w:rsidRDefault="00BD6AC1" w:rsidP="00FA688B">
            <w:p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FA688B">
              <w:rPr>
                <w:rFonts w:ascii="IBM Plex Sans" w:hAnsi="IBM Plex Sans" w:cs="Arial"/>
                <w:sz w:val="20"/>
                <w:szCs w:val="20"/>
              </w:rPr>
              <w:t>Otras administrativas</w:t>
            </w:r>
          </w:p>
        </w:tc>
      </w:tr>
    </w:tbl>
    <w:p w14:paraId="057E5238" w14:textId="18FF9D94" w:rsidR="00A87E40" w:rsidRPr="00FA688B" w:rsidRDefault="009517DA" w:rsidP="00FA688B">
      <w:pPr>
        <w:spacing w:line="240" w:lineRule="auto"/>
        <w:jc w:val="both"/>
        <w:rPr>
          <w:rFonts w:ascii="IBM Plex Sans Light" w:hAnsi="IBM Plex Sans Light" w:cs="Arial"/>
          <w:sz w:val="18"/>
          <w:szCs w:val="18"/>
        </w:rPr>
      </w:pPr>
      <w:r w:rsidRPr="00FA688B">
        <w:rPr>
          <w:rFonts w:ascii="IBM Plex Sans Light" w:hAnsi="IBM Plex Sans Light" w:cs="Arial"/>
          <w:sz w:val="18"/>
          <w:szCs w:val="18"/>
        </w:rPr>
        <w:t xml:space="preserve">Fuente: Elaboración propia a partir del </w:t>
      </w:r>
      <w:r w:rsidR="00A36ED9" w:rsidRPr="00FA688B">
        <w:rPr>
          <w:rFonts w:ascii="IBM Plex Sans Light" w:hAnsi="IBM Plex Sans Light" w:cs="Arial"/>
          <w:sz w:val="18"/>
          <w:szCs w:val="18"/>
        </w:rPr>
        <w:t>M</w:t>
      </w:r>
      <w:r w:rsidRPr="00FA688B">
        <w:rPr>
          <w:rFonts w:ascii="IBM Plex Sans Light" w:hAnsi="IBM Plex Sans Light" w:cs="Arial"/>
          <w:sz w:val="18"/>
          <w:szCs w:val="18"/>
        </w:rPr>
        <w:t xml:space="preserve">anual metodológico del análisis de programas de gobierno de partidos políticos en Costa Rica para las elecciones nacionales de 2018 (Programa Estado de la Nación, 2017) y del </w:t>
      </w:r>
      <w:r w:rsidR="00A36ED9" w:rsidRPr="00FA688B">
        <w:rPr>
          <w:rFonts w:ascii="IBM Plex Sans Light" w:hAnsi="IBM Plex Sans Light" w:cs="Arial"/>
          <w:sz w:val="18"/>
          <w:szCs w:val="18"/>
        </w:rPr>
        <w:t>M</w:t>
      </w:r>
      <w:r w:rsidRPr="00FA688B">
        <w:rPr>
          <w:rFonts w:ascii="IBM Plex Sans Light" w:hAnsi="IBM Plex Sans Light" w:cs="Arial"/>
          <w:sz w:val="18"/>
          <w:szCs w:val="18"/>
        </w:rPr>
        <w:t>anual metodológico de la base de datos de decretos ejecutivos en Costa Rica (Programa Estado de la Nación, 2019).</w:t>
      </w:r>
    </w:p>
    <w:p w14:paraId="6EA2D7C4" w14:textId="77777777" w:rsidR="009517DA" w:rsidRPr="00987A0D" w:rsidRDefault="009517DA" w:rsidP="00987A0D">
      <w:pPr>
        <w:spacing w:line="240" w:lineRule="auto"/>
        <w:jc w:val="both"/>
        <w:rPr>
          <w:rFonts w:ascii="IBM Plex Sans" w:hAnsi="IBM Plex Sans" w:cs="Arial"/>
        </w:rPr>
      </w:pPr>
    </w:p>
    <w:p w14:paraId="768D36A5" w14:textId="77777777" w:rsidR="00987A0D" w:rsidRPr="00987A0D" w:rsidRDefault="00A87E40" w:rsidP="00987A0D">
      <w:pPr>
        <w:pStyle w:val="Ttulo2"/>
        <w:jc w:val="both"/>
        <w:rPr>
          <w:rFonts w:ascii="IBM Plex Sans" w:hAnsi="IBM Plex Sans"/>
        </w:rPr>
      </w:pPr>
      <w:bookmarkStart w:id="22" w:name="_Toc86615292"/>
      <w:r w:rsidRPr="00987A0D">
        <w:rPr>
          <w:rFonts w:ascii="IBM Plex Sans" w:hAnsi="IBM Plex Sans"/>
        </w:rPr>
        <w:t>1</w:t>
      </w:r>
      <w:r w:rsidR="00A33D67" w:rsidRPr="00987A0D">
        <w:rPr>
          <w:rFonts w:ascii="IBM Plex Sans" w:hAnsi="IBM Plex Sans"/>
        </w:rPr>
        <w:t>7</w:t>
      </w:r>
      <w:r w:rsidRPr="00987A0D">
        <w:rPr>
          <w:rFonts w:ascii="IBM Plex Sans" w:hAnsi="IBM Plex Sans"/>
        </w:rPr>
        <w:t>. Mecanismo de control en el texto de la norma (control)</w:t>
      </w:r>
      <w:bookmarkEnd w:id="22"/>
    </w:p>
    <w:p w14:paraId="5A24DD53" w14:textId="63E22AB4" w:rsidR="00A87E40" w:rsidRPr="00987A0D" w:rsidRDefault="00A87E40" w:rsidP="00987A0D">
      <w:pPr>
        <w:spacing w:line="240" w:lineRule="auto"/>
        <w:jc w:val="both"/>
        <w:rPr>
          <w:rFonts w:ascii="IBM Plex Sans" w:hAnsi="IBM Plex Sans" w:cs="Arial"/>
        </w:rPr>
      </w:pPr>
      <w:r w:rsidRPr="00987A0D">
        <w:rPr>
          <w:rFonts w:ascii="IBM Plex Sans" w:hAnsi="IBM Plex Sans" w:cs="Arial"/>
        </w:rPr>
        <w:t>Esta columna está definida para señalar si el texto de la norma indica explícitamente el mecanismo de</w:t>
      </w:r>
      <w:r w:rsidR="00B17685" w:rsidRPr="00987A0D">
        <w:rPr>
          <w:rFonts w:ascii="IBM Plex Sans" w:hAnsi="IBM Plex Sans" w:cs="Arial"/>
        </w:rPr>
        <w:t xml:space="preserve"> </w:t>
      </w:r>
      <w:r w:rsidRPr="00987A0D">
        <w:rPr>
          <w:rFonts w:ascii="IBM Plex Sans" w:hAnsi="IBM Plex Sans" w:cs="Arial"/>
        </w:rPr>
        <w:t>control</w:t>
      </w:r>
      <w:r w:rsidR="00AC2847" w:rsidRPr="00987A0D">
        <w:rPr>
          <w:rFonts w:ascii="IBM Plex Sans" w:hAnsi="IBM Plex Sans" w:cs="Arial"/>
        </w:rPr>
        <w:t xml:space="preserve">: </w:t>
      </w:r>
      <w:r w:rsidR="000457DF" w:rsidRPr="00987A0D">
        <w:rPr>
          <w:rFonts w:ascii="IBM Plex Sans" w:hAnsi="IBM Plex Sans" w:cs="Arial"/>
        </w:rPr>
        <w:t xml:space="preserve">herramienta que permite la revisión, verificación y/o comprobación de diversos actos, acciones y normas con el fin de “evitar el ejercicio abusivo o no conforme a derecho del poder” (Huerta 2003, p.930). </w:t>
      </w:r>
      <w:r w:rsidRPr="00987A0D">
        <w:rPr>
          <w:rFonts w:ascii="IBM Plex Sans" w:hAnsi="IBM Plex Sans" w:cs="Arial"/>
        </w:rPr>
        <w:t>Se insertará “SI”, si la respuesta es afirmativa, “NO” si es negativa y “NA” en caso de no aplicar.</w:t>
      </w:r>
    </w:p>
    <w:p w14:paraId="3BD2CF58" w14:textId="26343B2B" w:rsidR="009D77C2" w:rsidRPr="004700A0" w:rsidRDefault="009D77C2" w:rsidP="004700A0">
      <w:pPr>
        <w:spacing w:after="0" w:line="360" w:lineRule="auto"/>
        <w:jc w:val="both"/>
        <w:rPr>
          <w:rFonts w:ascii="IBM Plex Sans Light" w:hAnsi="IBM Plex Sans Light" w:cs="Arial"/>
          <w:b/>
          <w:bCs/>
        </w:rPr>
      </w:pPr>
      <w:r w:rsidRPr="004700A0">
        <w:rPr>
          <w:rFonts w:ascii="IBM Plex Sans Light" w:hAnsi="IBM Plex Sans Light" w:cs="Arial"/>
          <w:b/>
          <w:bCs/>
        </w:rPr>
        <w:t xml:space="preserve">Cuadro </w:t>
      </w:r>
      <w:r w:rsidR="00CD521F" w:rsidRPr="004700A0">
        <w:rPr>
          <w:rFonts w:ascii="IBM Plex Sans Light" w:hAnsi="IBM Plex Sans Light" w:cs="Arial"/>
          <w:b/>
          <w:bCs/>
        </w:rPr>
        <w:t>9</w:t>
      </w:r>
      <w:r w:rsidRPr="004700A0">
        <w:rPr>
          <w:rFonts w:ascii="IBM Plex Sans Light" w:hAnsi="IBM Plex Sans Light" w:cs="Arial"/>
          <w:b/>
          <w:bCs/>
        </w:rPr>
        <w:t>. Mecanismo de control en el texto de la norma.</w:t>
      </w:r>
    </w:p>
    <w:tbl>
      <w:tblPr>
        <w:tblStyle w:val="Tablaconcuadrcula5oscura-nfasis1"/>
        <w:tblW w:w="0" w:type="auto"/>
        <w:tblLook w:val="04A0" w:firstRow="1" w:lastRow="0" w:firstColumn="1" w:lastColumn="0" w:noHBand="0" w:noVBand="1"/>
      </w:tblPr>
      <w:tblGrid>
        <w:gridCol w:w="1696"/>
        <w:gridCol w:w="2977"/>
      </w:tblGrid>
      <w:tr w:rsidR="00A87E40" w:rsidRPr="006529E7" w14:paraId="14AF1352" w14:textId="77777777" w:rsidTr="004700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gridSpan w:val="2"/>
            <w:shd w:val="clear" w:color="auto" w:fill="002060"/>
          </w:tcPr>
          <w:p w14:paraId="534B8EB8" w14:textId="77777777" w:rsidR="00A87E40" w:rsidRPr="004700A0" w:rsidRDefault="00A87E40" w:rsidP="004700A0">
            <w:pPr>
              <w:jc w:val="center"/>
              <w:rPr>
                <w:rFonts w:ascii="IBM Plex Sans" w:hAnsi="IBM Plex Sans" w:cs="Arial"/>
                <w:color w:val="auto"/>
                <w:sz w:val="20"/>
                <w:szCs w:val="20"/>
              </w:rPr>
            </w:pPr>
            <w:r w:rsidRPr="004700A0">
              <w:rPr>
                <w:rFonts w:ascii="IBM Plex Sans" w:hAnsi="IBM Plex Sans" w:cs="Arial"/>
                <w:color w:val="auto"/>
                <w:sz w:val="20"/>
                <w:szCs w:val="20"/>
              </w:rPr>
              <w:t>Opciones de registro</w:t>
            </w:r>
          </w:p>
        </w:tc>
      </w:tr>
      <w:tr w:rsidR="00A87E40" w:rsidRPr="006529E7" w14:paraId="3E1B8E08" w14:textId="77777777" w:rsidTr="004700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002060"/>
          </w:tcPr>
          <w:p w14:paraId="1B84E88A" w14:textId="77777777" w:rsidR="00A87E40" w:rsidRPr="004700A0" w:rsidRDefault="00A87E40" w:rsidP="004700A0">
            <w:pPr>
              <w:jc w:val="center"/>
              <w:rPr>
                <w:rFonts w:ascii="IBM Plex Sans" w:hAnsi="IBM Plex Sans" w:cs="Arial"/>
                <w:color w:val="auto"/>
                <w:sz w:val="20"/>
                <w:szCs w:val="20"/>
              </w:rPr>
            </w:pPr>
            <w:r w:rsidRPr="004700A0">
              <w:rPr>
                <w:rFonts w:ascii="IBM Plex Sans" w:hAnsi="IBM Plex Sans" w:cs="Arial"/>
                <w:color w:val="auto"/>
                <w:sz w:val="20"/>
                <w:szCs w:val="20"/>
              </w:rPr>
              <w:t>SI</w:t>
            </w:r>
          </w:p>
        </w:tc>
        <w:tc>
          <w:tcPr>
            <w:tcW w:w="2977" w:type="dxa"/>
          </w:tcPr>
          <w:p w14:paraId="54D9AF01" w14:textId="77777777" w:rsidR="00A87E40" w:rsidRPr="004700A0" w:rsidRDefault="00A87E40" w:rsidP="004700A0">
            <w:pPr>
              <w:jc w:val="both"/>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4700A0">
              <w:rPr>
                <w:rFonts w:ascii="IBM Plex Sans" w:hAnsi="IBM Plex Sans" w:cs="Arial"/>
                <w:sz w:val="20"/>
                <w:szCs w:val="20"/>
              </w:rPr>
              <w:t>Respuesta afirmativa</w:t>
            </w:r>
          </w:p>
        </w:tc>
      </w:tr>
      <w:tr w:rsidR="00A87E40" w:rsidRPr="006529E7" w14:paraId="78021D9F" w14:textId="77777777" w:rsidTr="004700A0">
        <w:tc>
          <w:tcPr>
            <w:cnfStyle w:val="001000000000" w:firstRow="0" w:lastRow="0" w:firstColumn="1" w:lastColumn="0" w:oddVBand="0" w:evenVBand="0" w:oddHBand="0" w:evenHBand="0" w:firstRowFirstColumn="0" w:firstRowLastColumn="0" w:lastRowFirstColumn="0" w:lastRowLastColumn="0"/>
            <w:tcW w:w="1696" w:type="dxa"/>
            <w:shd w:val="clear" w:color="auto" w:fill="002060"/>
          </w:tcPr>
          <w:p w14:paraId="4224AC7C" w14:textId="77777777" w:rsidR="00A87E40" w:rsidRPr="004700A0" w:rsidRDefault="00A87E40" w:rsidP="004700A0">
            <w:pPr>
              <w:jc w:val="center"/>
              <w:rPr>
                <w:rFonts w:ascii="IBM Plex Sans" w:hAnsi="IBM Plex Sans" w:cs="Arial"/>
                <w:color w:val="auto"/>
                <w:sz w:val="20"/>
                <w:szCs w:val="20"/>
              </w:rPr>
            </w:pPr>
            <w:r w:rsidRPr="004700A0">
              <w:rPr>
                <w:rFonts w:ascii="IBM Plex Sans" w:hAnsi="IBM Plex Sans" w:cs="Arial"/>
                <w:color w:val="auto"/>
                <w:sz w:val="20"/>
                <w:szCs w:val="20"/>
              </w:rPr>
              <w:t>NO</w:t>
            </w:r>
          </w:p>
        </w:tc>
        <w:tc>
          <w:tcPr>
            <w:tcW w:w="2977" w:type="dxa"/>
          </w:tcPr>
          <w:p w14:paraId="13F9FA40" w14:textId="77777777" w:rsidR="00A87E40" w:rsidRPr="004700A0" w:rsidRDefault="00A87E40" w:rsidP="004700A0">
            <w:pPr>
              <w:jc w:val="both"/>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4700A0">
              <w:rPr>
                <w:rFonts w:ascii="IBM Plex Sans" w:hAnsi="IBM Plex Sans" w:cs="Arial"/>
                <w:sz w:val="20"/>
                <w:szCs w:val="20"/>
              </w:rPr>
              <w:t>Respuesta negativa</w:t>
            </w:r>
          </w:p>
        </w:tc>
      </w:tr>
      <w:tr w:rsidR="00A87E40" w:rsidRPr="006529E7" w14:paraId="61909D68" w14:textId="77777777" w:rsidTr="004700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002060"/>
          </w:tcPr>
          <w:p w14:paraId="04375BB2" w14:textId="77777777" w:rsidR="00A87E40" w:rsidRPr="004700A0" w:rsidRDefault="00A87E40" w:rsidP="004700A0">
            <w:pPr>
              <w:jc w:val="center"/>
              <w:rPr>
                <w:rFonts w:ascii="IBM Plex Sans" w:hAnsi="IBM Plex Sans" w:cs="Arial"/>
                <w:color w:val="auto"/>
                <w:sz w:val="20"/>
                <w:szCs w:val="20"/>
              </w:rPr>
            </w:pPr>
            <w:r w:rsidRPr="004700A0">
              <w:rPr>
                <w:rFonts w:ascii="IBM Plex Sans" w:hAnsi="IBM Plex Sans" w:cs="Arial"/>
                <w:color w:val="auto"/>
                <w:sz w:val="20"/>
                <w:szCs w:val="20"/>
              </w:rPr>
              <w:t>NA</w:t>
            </w:r>
          </w:p>
        </w:tc>
        <w:tc>
          <w:tcPr>
            <w:tcW w:w="2977" w:type="dxa"/>
          </w:tcPr>
          <w:p w14:paraId="5AC563C0" w14:textId="77777777" w:rsidR="00A87E40" w:rsidRPr="004700A0" w:rsidRDefault="00A87E40" w:rsidP="004700A0">
            <w:pPr>
              <w:jc w:val="both"/>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4700A0">
              <w:rPr>
                <w:rFonts w:ascii="IBM Plex Sans" w:hAnsi="IBM Plex Sans" w:cs="Arial"/>
                <w:sz w:val="20"/>
                <w:szCs w:val="20"/>
              </w:rPr>
              <w:t>No aplica</w:t>
            </w:r>
          </w:p>
        </w:tc>
      </w:tr>
    </w:tbl>
    <w:p w14:paraId="03F384C3" w14:textId="7E825F99" w:rsidR="00A87E40" w:rsidRPr="004700A0" w:rsidRDefault="0096457D" w:rsidP="004700A0">
      <w:pPr>
        <w:spacing w:line="240" w:lineRule="auto"/>
        <w:jc w:val="both"/>
        <w:rPr>
          <w:rFonts w:ascii="IBM Plex Sans Light" w:hAnsi="IBM Plex Sans Light" w:cs="Arial"/>
          <w:sz w:val="18"/>
          <w:szCs w:val="18"/>
        </w:rPr>
      </w:pPr>
      <w:r w:rsidRPr="004700A0">
        <w:rPr>
          <w:rFonts w:ascii="IBM Plex Sans Light" w:hAnsi="IBM Plex Sans Light" w:cs="Arial"/>
          <w:sz w:val="18"/>
          <w:szCs w:val="18"/>
        </w:rPr>
        <w:t>Fuente: Elaboración propia.</w:t>
      </w:r>
    </w:p>
    <w:p w14:paraId="6A9A628C" w14:textId="77777777" w:rsidR="0096457D" w:rsidRPr="004700A0" w:rsidRDefault="0096457D" w:rsidP="004700A0">
      <w:pPr>
        <w:spacing w:line="240" w:lineRule="auto"/>
        <w:jc w:val="both"/>
        <w:rPr>
          <w:rFonts w:ascii="IBM Plex Sans" w:hAnsi="IBM Plex Sans" w:cs="Arial"/>
        </w:rPr>
      </w:pPr>
    </w:p>
    <w:p w14:paraId="566AAC8C" w14:textId="77777777" w:rsidR="004700A0" w:rsidRPr="004700A0" w:rsidRDefault="00A87E40" w:rsidP="004700A0">
      <w:pPr>
        <w:pStyle w:val="Ttulo2"/>
        <w:jc w:val="both"/>
        <w:rPr>
          <w:rFonts w:ascii="IBM Plex Sans" w:hAnsi="IBM Plex Sans"/>
        </w:rPr>
      </w:pPr>
      <w:bookmarkStart w:id="23" w:name="_Toc86615293"/>
      <w:r w:rsidRPr="004700A0">
        <w:rPr>
          <w:rFonts w:ascii="IBM Plex Sans" w:hAnsi="IBM Plex Sans"/>
        </w:rPr>
        <w:t>1</w:t>
      </w:r>
      <w:r w:rsidR="00CD521F" w:rsidRPr="004700A0">
        <w:rPr>
          <w:rFonts w:ascii="IBM Plex Sans" w:hAnsi="IBM Plex Sans"/>
        </w:rPr>
        <w:t>8</w:t>
      </w:r>
      <w:r w:rsidRPr="004700A0">
        <w:rPr>
          <w:rFonts w:ascii="IBM Plex Sans" w:hAnsi="IBM Plex Sans"/>
        </w:rPr>
        <w:t>. Detalle del mecanismo de control en el texto de la norma (detalle_control)</w:t>
      </w:r>
      <w:bookmarkEnd w:id="23"/>
    </w:p>
    <w:p w14:paraId="3038E87C" w14:textId="0800CCD7" w:rsidR="00A87E40" w:rsidRPr="004700A0" w:rsidRDefault="004700A0" w:rsidP="004700A0">
      <w:pPr>
        <w:spacing w:line="240" w:lineRule="auto"/>
        <w:jc w:val="both"/>
        <w:rPr>
          <w:rFonts w:ascii="IBM Plex Sans" w:hAnsi="IBM Plex Sans" w:cs="Arial"/>
        </w:rPr>
      </w:pPr>
      <w:r>
        <w:rPr>
          <w:rFonts w:ascii="IBM Plex Sans" w:hAnsi="IBM Plex Sans" w:cs="Arial"/>
        </w:rPr>
        <w:t>A</w:t>
      </w:r>
      <w:r w:rsidR="00A87E40" w:rsidRPr="004700A0">
        <w:rPr>
          <w:rFonts w:ascii="IBM Plex Sans" w:hAnsi="IBM Plex Sans" w:cs="Arial"/>
        </w:rPr>
        <w:t xml:space="preserve">quí se registra el mecanismo de control indicado explícitamente en el texto de la norma. En caso de que el texto de la norma no indique el mecanismo de control (ver columna </w:t>
      </w:r>
      <w:r w:rsidR="00DE10B9" w:rsidRPr="004700A0">
        <w:rPr>
          <w:rFonts w:ascii="IBM Plex Sans" w:hAnsi="IBM Plex Sans" w:cs="Arial"/>
        </w:rPr>
        <w:t>1</w:t>
      </w:r>
      <w:r w:rsidR="00CD521F" w:rsidRPr="004700A0">
        <w:rPr>
          <w:rFonts w:ascii="IBM Plex Sans" w:hAnsi="IBM Plex Sans" w:cs="Arial"/>
        </w:rPr>
        <w:t>7</w:t>
      </w:r>
      <w:r w:rsidR="00A87E40" w:rsidRPr="004700A0">
        <w:rPr>
          <w:rFonts w:ascii="IBM Plex Sans" w:hAnsi="IBM Plex Sans" w:cs="Arial"/>
        </w:rPr>
        <w:t>), se deberá señalar “NI”.</w:t>
      </w:r>
      <w:r w:rsidR="00DE10B9" w:rsidRPr="004700A0">
        <w:rPr>
          <w:rFonts w:ascii="IBM Plex Sans" w:hAnsi="IBM Plex Sans" w:cs="Arial"/>
        </w:rPr>
        <w:t xml:space="preserve"> Es importante aclarar que el investigador o la investigadora debe registrar en la base de datos</w:t>
      </w:r>
      <w:r w:rsidR="00F717FC" w:rsidRPr="004700A0">
        <w:rPr>
          <w:rFonts w:ascii="IBM Plex Sans" w:hAnsi="IBM Plex Sans" w:cs="Arial"/>
        </w:rPr>
        <w:t>,</w:t>
      </w:r>
      <w:r w:rsidR="00DE10B9" w:rsidRPr="004700A0">
        <w:rPr>
          <w:rFonts w:ascii="IBM Plex Sans" w:hAnsi="IBM Plex Sans" w:cs="Arial"/>
        </w:rPr>
        <w:t xml:space="preserve"> </w:t>
      </w:r>
      <w:r w:rsidR="002E051E" w:rsidRPr="004700A0">
        <w:rPr>
          <w:rFonts w:ascii="IBM Plex Sans" w:hAnsi="IBM Plex Sans" w:cs="Arial"/>
        </w:rPr>
        <w:t xml:space="preserve">el código numérico </w:t>
      </w:r>
      <w:r w:rsidR="00DE10B9" w:rsidRPr="004700A0">
        <w:rPr>
          <w:rFonts w:ascii="IBM Plex Sans" w:hAnsi="IBM Plex Sans" w:cs="Arial"/>
        </w:rPr>
        <w:t>que aparece en la columna izquierda (de color azul</w:t>
      </w:r>
      <w:r w:rsidR="00FC37E3" w:rsidRPr="004700A0">
        <w:rPr>
          <w:rFonts w:ascii="IBM Plex Sans" w:hAnsi="IBM Plex Sans" w:cs="Arial"/>
        </w:rPr>
        <w:t xml:space="preserve"> oscuro</w:t>
      </w:r>
      <w:r w:rsidR="00DE10B9" w:rsidRPr="004700A0">
        <w:rPr>
          <w:rFonts w:ascii="IBM Plex Sans" w:hAnsi="IBM Plex Sans" w:cs="Arial"/>
        </w:rPr>
        <w:t>)</w:t>
      </w:r>
      <w:r w:rsidR="0096457D" w:rsidRPr="004700A0">
        <w:rPr>
          <w:rFonts w:ascii="IBM Plex Sans" w:hAnsi="IBM Plex Sans" w:cs="Arial"/>
        </w:rPr>
        <w:t xml:space="preserve"> del cuadro </w:t>
      </w:r>
      <w:r w:rsidR="00CD521F" w:rsidRPr="004700A0">
        <w:rPr>
          <w:rFonts w:ascii="IBM Plex Sans" w:hAnsi="IBM Plex Sans" w:cs="Arial"/>
        </w:rPr>
        <w:t>10</w:t>
      </w:r>
      <w:r w:rsidR="0096457D" w:rsidRPr="004700A0">
        <w:rPr>
          <w:rFonts w:ascii="IBM Plex Sans" w:hAnsi="IBM Plex Sans" w:cs="Arial"/>
        </w:rPr>
        <w:t>.</w:t>
      </w:r>
    </w:p>
    <w:p w14:paraId="43FDC12D" w14:textId="748B1AD5" w:rsidR="0096457D" w:rsidRPr="004700A0" w:rsidRDefault="0096457D" w:rsidP="004700A0">
      <w:pPr>
        <w:spacing w:after="0" w:line="360" w:lineRule="auto"/>
        <w:jc w:val="both"/>
        <w:rPr>
          <w:rFonts w:ascii="IBM Plex Sans Light" w:hAnsi="IBM Plex Sans Light" w:cs="Arial"/>
          <w:b/>
          <w:bCs/>
        </w:rPr>
      </w:pPr>
      <w:r w:rsidRPr="004700A0">
        <w:rPr>
          <w:rFonts w:ascii="IBM Plex Sans Light" w:hAnsi="IBM Plex Sans Light" w:cs="Arial"/>
          <w:b/>
          <w:bCs/>
        </w:rPr>
        <w:t xml:space="preserve">Cuadro </w:t>
      </w:r>
      <w:r w:rsidR="00CD521F" w:rsidRPr="004700A0">
        <w:rPr>
          <w:rFonts w:ascii="IBM Plex Sans Light" w:hAnsi="IBM Plex Sans Light" w:cs="Arial"/>
          <w:b/>
          <w:bCs/>
        </w:rPr>
        <w:t>10</w:t>
      </w:r>
      <w:r w:rsidRPr="004700A0">
        <w:rPr>
          <w:rFonts w:ascii="IBM Plex Sans Light" w:hAnsi="IBM Plex Sans Light" w:cs="Arial"/>
          <w:b/>
          <w:bCs/>
        </w:rPr>
        <w:t>. Detalle del mecanismo de control en el texto de la norma.</w:t>
      </w:r>
    </w:p>
    <w:tbl>
      <w:tblPr>
        <w:tblStyle w:val="Tablaconcuadrcula5oscura-nfasis1"/>
        <w:tblW w:w="0" w:type="auto"/>
        <w:tblLook w:val="04A0" w:firstRow="1" w:lastRow="0" w:firstColumn="1" w:lastColumn="0" w:noHBand="0" w:noVBand="1"/>
      </w:tblPr>
      <w:tblGrid>
        <w:gridCol w:w="1271"/>
        <w:gridCol w:w="2552"/>
        <w:gridCol w:w="4671"/>
      </w:tblGrid>
      <w:tr w:rsidR="00771CF2" w14:paraId="73657C01" w14:textId="77777777" w:rsidTr="00771C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002060"/>
            <w:vAlign w:val="center"/>
          </w:tcPr>
          <w:p w14:paraId="1E7A48E8" w14:textId="1CA662B8" w:rsidR="00771CF2" w:rsidRPr="004700A0" w:rsidRDefault="00771CF2" w:rsidP="004700A0">
            <w:pPr>
              <w:rPr>
                <w:rFonts w:ascii="IBM Plex Sans" w:hAnsi="IBM Plex Sans" w:cs="Arial"/>
                <w:sz w:val="20"/>
                <w:szCs w:val="20"/>
              </w:rPr>
            </w:pPr>
            <w:r w:rsidRPr="004700A0">
              <w:rPr>
                <w:rFonts w:ascii="IBM Plex Sans" w:hAnsi="IBM Plex Sans" w:cs="Arial"/>
                <w:sz w:val="20"/>
                <w:szCs w:val="20"/>
              </w:rPr>
              <w:t>Código numérico</w:t>
            </w:r>
          </w:p>
        </w:tc>
        <w:tc>
          <w:tcPr>
            <w:tcW w:w="2552" w:type="dxa"/>
            <w:shd w:val="clear" w:color="auto" w:fill="002060"/>
            <w:vAlign w:val="center"/>
          </w:tcPr>
          <w:p w14:paraId="544BA141" w14:textId="2A3D36A1" w:rsidR="00771CF2" w:rsidRPr="004700A0" w:rsidRDefault="00771CF2" w:rsidP="004700A0">
            <w:pPr>
              <w:cnfStyle w:val="100000000000" w:firstRow="1" w:lastRow="0" w:firstColumn="0" w:lastColumn="0" w:oddVBand="0" w:evenVBand="0" w:oddHBand="0" w:evenHBand="0" w:firstRowFirstColumn="0" w:firstRowLastColumn="0" w:lastRowFirstColumn="0" w:lastRowLastColumn="0"/>
              <w:rPr>
                <w:rFonts w:ascii="IBM Plex Sans" w:hAnsi="IBM Plex Sans" w:cs="Arial"/>
                <w:sz w:val="20"/>
                <w:szCs w:val="20"/>
              </w:rPr>
            </w:pPr>
            <w:r w:rsidRPr="004700A0">
              <w:rPr>
                <w:rFonts w:ascii="IBM Plex Sans" w:hAnsi="IBM Plex Sans" w:cs="Arial"/>
                <w:sz w:val="20"/>
                <w:szCs w:val="20"/>
              </w:rPr>
              <w:t>Mecanismo de control</w:t>
            </w:r>
          </w:p>
        </w:tc>
        <w:tc>
          <w:tcPr>
            <w:tcW w:w="4671" w:type="dxa"/>
            <w:shd w:val="clear" w:color="auto" w:fill="002060"/>
            <w:vAlign w:val="center"/>
          </w:tcPr>
          <w:p w14:paraId="7476248F" w14:textId="14D61B1B" w:rsidR="00771CF2" w:rsidRPr="004700A0" w:rsidRDefault="00771CF2" w:rsidP="004700A0">
            <w:pPr>
              <w:cnfStyle w:val="100000000000" w:firstRow="1" w:lastRow="0" w:firstColumn="0" w:lastColumn="0" w:oddVBand="0" w:evenVBand="0" w:oddHBand="0" w:evenHBand="0" w:firstRowFirstColumn="0" w:firstRowLastColumn="0" w:lastRowFirstColumn="0" w:lastRowLastColumn="0"/>
              <w:rPr>
                <w:rFonts w:ascii="IBM Plex Sans" w:hAnsi="IBM Plex Sans" w:cs="Arial"/>
                <w:sz w:val="20"/>
                <w:szCs w:val="20"/>
              </w:rPr>
            </w:pPr>
            <w:r w:rsidRPr="004700A0">
              <w:rPr>
                <w:rFonts w:ascii="IBM Plex Sans" w:hAnsi="IBM Plex Sans" w:cs="Arial"/>
                <w:sz w:val="20"/>
                <w:szCs w:val="20"/>
              </w:rPr>
              <w:t>Definición del mecanismo de control</w:t>
            </w:r>
          </w:p>
        </w:tc>
      </w:tr>
      <w:tr w:rsidR="00771CF2" w14:paraId="56300892" w14:textId="77777777" w:rsidTr="00771C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002060"/>
          </w:tcPr>
          <w:p w14:paraId="3D8AF38A" w14:textId="0B36616F" w:rsidR="00771CF2" w:rsidRPr="004700A0" w:rsidRDefault="00771CF2" w:rsidP="004700A0">
            <w:pPr>
              <w:rPr>
                <w:rFonts w:ascii="IBM Plex Sans" w:hAnsi="IBM Plex Sans" w:cs="Arial"/>
                <w:sz w:val="20"/>
                <w:szCs w:val="20"/>
              </w:rPr>
            </w:pPr>
            <w:r w:rsidRPr="004700A0">
              <w:rPr>
                <w:rFonts w:ascii="IBM Plex Sans" w:hAnsi="IBM Plex Sans" w:cs="Arial"/>
                <w:sz w:val="20"/>
                <w:szCs w:val="20"/>
              </w:rPr>
              <w:t>1</w:t>
            </w:r>
          </w:p>
        </w:tc>
        <w:tc>
          <w:tcPr>
            <w:tcW w:w="2552" w:type="dxa"/>
          </w:tcPr>
          <w:p w14:paraId="16ADDBDD" w14:textId="7911F0B5" w:rsidR="00771CF2" w:rsidRPr="004700A0" w:rsidRDefault="00771CF2" w:rsidP="004700A0">
            <w:p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4700A0">
              <w:rPr>
                <w:rFonts w:ascii="IBM Plex Sans" w:hAnsi="IBM Plex Sans" w:cs="Arial"/>
                <w:sz w:val="20"/>
                <w:szCs w:val="20"/>
              </w:rPr>
              <w:t>Levantamiento de información</w:t>
            </w:r>
          </w:p>
        </w:tc>
        <w:tc>
          <w:tcPr>
            <w:tcW w:w="4671" w:type="dxa"/>
          </w:tcPr>
          <w:p w14:paraId="26D861E3" w14:textId="5CBE9E0F" w:rsidR="00771CF2" w:rsidRPr="004700A0" w:rsidRDefault="00771CF2" w:rsidP="004700A0">
            <w:p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4700A0">
              <w:rPr>
                <w:rFonts w:ascii="IBM Plex Sans" w:hAnsi="IBM Plex Sans" w:cs="Arial"/>
                <w:sz w:val="20"/>
                <w:szCs w:val="20"/>
              </w:rPr>
              <w:t xml:space="preserve">Si el texto de la norma indica que la institución debe realizar un levantamiento de información </w:t>
            </w:r>
            <w:r w:rsidRPr="004700A0">
              <w:rPr>
                <w:rFonts w:ascii="IBM Plex Sans" w:hAnsi="IBM Plex Sans" w:cs="Arial"/>
                <w:sz w:val="20"/>
                <w:szCs w:val="20"/>
              </w:rPr>
              <w:lastRenderedPageBreak/>
              <w:t>(listas, datos, entre otros) con la cantidad de afectados que se acogieron a la medida.</w:t>
            </w:r>
          </w:p>
        </w:tc>
      </w:tr>
      <w:tr w:rsidR="00771CF2" w14:paraId="7FFEFF5F" w14:textId="77777777" w:rsidTr="00771CF2">
        <w:tc>
          <w:tcPr>
            <w:cnfStyle w:val="001000000000" w:firstRow="0" w:lastRow="0" w:firstColumn="1" w:lastColumn="0" w:oddVBand="0" w:evenVBand="0" w:oddHBand="0" w:evenHBand="0" w:firstRowFirstColumn="0" w:firstRowLastColumn="0" w:lastRowFirstColumn="0" w:lastRowLastColumn="0"/>
            <w:tcW w:w="1271" w:type="dxa"/>
            <w:shd w:val="clear" w:color="auto" w:fill="002060"/>
          </w:tcPr>
          <w:p w14:paraId="17532E86" w14:textId="3A312A73" w:rsidR="00771CF2" w:rsidRPr="004700A0" w:rsidRDefault="00771CF2" w:rsidP="004700A0">
            <w:pPr>
              <w:rPr>
                <w:rFonts w:ascii="IBM Plex Sans" w:hAnsi="IBM Plex Sans" w:cs="Arial"/>
                <w:sz w:val="20"/>
                <w:szCs w:val="20"/>
              </w:rPr>
            </w:pPr>
            <w:r w:rsidRPr="004700A0">
              <w:rPr>
                <w:rFonts w:ascii="IBM Plex Sans" w:hAnsi="IBM Plex Sans" w:cs="Arial"/>
                <w:sz w:val="20"/>
                <w:szCs w:val="20"/>
              </w:rPr>
              <w:lastRenderedPageBreak/>
              <w:t>2</w:t>
            </w:r>
          </w:p>
        </w:tc>
        <w:tc>
          <w:tcPr>
            <w:tcW w:w="2552" w:type="dxa"/>
          </w:tcPr>
          <w:p w14:paraId="6D2C7D67" w14:textId="6D3D3760" w:rsidR="00771CF2" w:rsidRPr="004700A0" w:rsidRDefault="00771CF2" w:rsidP="004700A0">
            <w:p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4700A0">
              <w:rPr>
                <w:rFonts w:ascii="IBM Plex Sans" w:hAnsi="IBM Plex Sans" w:cs="Arial"/>
                <w:sz w:val="20"/>
                <w:szCs w:val="20"/>
              </w:rPr>
              <w:t>Institución de control</w:t>
            </w:r>
          </w:p>
        </w:tc>
        <w:tc>
          <w:tcPr>
            <w:tcW w:w="4671" w:type="dxa"/>
          </w:tcPr>
          <w:p w14:paraId="5ED3D77F" w14:textId="4B09DBA9" w:rsidR="00771CF2" w:rsidRPr="004700A0" w:rsidRDefault="00771CF2" w:rsidP="004700A0">
            <w:p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4700A0">
              <w:rPr>
                <w:rFonts w:ascii="IBM Plex Sans" w:hAnsi="IBM Plex Sans" w:cs="Arial"/>
                <w:sz w:val="20"/>
                <w:szCs w:val="20"/>
              </w:rPr>
              <w:t>Si el texto de la norma indica que la institución debe enviar la información de afectados hacia alguna otra institución de control (ejemplo: Contraloría General de la República).</w:t>
            </w:r>
          </w:p>
        </w:tc>
      </w:tr>
      <w:tr w:rsidR="00771CF2" w14:paraId="74340C55" w14:textId="77777777" w:rsidTr="00771C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002060"/>
          </w:tcPr>
          <w:p w14:paraId="7497D05A" w14:textId="54064AE9" w:rsidR="00771CF2" w:rsidRPr="004700A0" w:rsidRDefault="00771CF2" w:rsidP="004700A0">
            <w:pPr>
              <w:rPr>
                <w:rFonts w:ascii="IBM Plex Sans" w:hAnsi="IBM Plex Sans" w:cs="Arial"/>
                <w:sz w:val="20"/>
                <w:szCs w:val="20"/>
              </w:rPr>
            </w:pPr>
            <w:r w:rsidRPr="004700A0">
              <w:rPr>
                <w:rFonts w:ascii="IBM Plex Sans" w:hAnsi="IBM Plex Sans" w:cs="Arial"/>
                <w:sz w:val="20"/>
                <w:szCs w:val="20"/>
              </w:rPr>
              <w:t>3</w:t>
            </w:r>
          </w:p>
        </w:tc>
        <w:tc>
          <w:tcPr>
            <w:tcW w:w="2552" w:type="dxa"/>
          </w:tcPr>
          <w:p w14:paraId="7F20FBCF" w14:textId="769B45C0" w:rsidR="00771CF2" w:rsidRPr="004700A0" w:rsidRDefault="00771CF2" w:rsidP="004700A0">
            <w:p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4700A0">
              <w:rPr>
                <w:rFonts w:ascii="IBM Plex Sans" w:hAnsi="IBM Plex Sans" w:cs="Arial"/>
                <w:sz w:val="20"/>
                <w:szCs w:val="20"/>
              </w:rPr>
              <w:t>Fiscalización del rector</w:t>
            </w:r>
          </w:p>
        </w:tc>
        <w:tc>
          <w:tcPr>
            <w:tcW w:w="4671" w:type="dxa"/>
          </w:tcPr>
          <w:p w14:paraId="2F6942CA" w14:textId="569A5407" w:rsidR="00771CF2" w:rsidRPr="004700A0" w:rsidRDefault="00771CF2" w:rsidP="004700A0">
            <w:p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4700A0">
              <w:rPr>
                <w:rFonts w:ascii="IBM Plex Sans" w:hAnsi="IBM Plex Sans" w:cs="Arial"/>
                <w:sz w:val="20"/>
                <w:szCs w:val="20"/>
              </w:rPr>
              <w:t>Si el texto de la norma menciona la fiscalización del rector en materia hacendaria.</w:t>
            </w:r>
          </w:p>
        </w:tc>
      </w:tr>
      <w:tr w:rsidR="00771CF2" w14:paraId="3BA6D45B" w14:textId="77777777" w:rsidTr="00771CF2">
        <w:tc>
          <w:tcPr>
            <w:cnfStyle w:val="001000000000" w:firstRow="0" w:lastRow="0" w:firstColumn="1" w:lastColumn="0" w:oddVBand="0" w:evenVBand="0" w:oddHBand="0" w:evenHBand="0" w:firstRowFirstColumn="0" w:firstRowLastColumn="0" w:lastRowFirstColumn="0" w:lastRowLastColumn="0"/>
            <w:tcW w:w="1271" w:type="dxa"/>
            <w:shd w:val="clear" w:color="auto" w:fill="002060"/>
          </w:tcPr>
          <w:p w14:paraId="33BED746" w14:textId="6DB608C2" w:rsidR="00771CF2" w:rsidRPr="004700A0" w:rsidRDefault="00771CF2" w:rsidP="004700A0">
            <w:pPr>
              <w:rPr>
                <w:rFonts w:ascii="IBM Plex Sans" w:hAnsi="IBM Plex Sans" w:cs="Arial"/>
                <w:sz w:val="20"/>
                <w:szCs w:val="20"/>
              </w:rPr>
            </w:pPr>
            <w:r w:rsidRPr="004700A0">
              <w:rPr>
                <w:rFonts w:ascii="IBM Plex Sans" w:hAnsi="IBM Plex Sans" w:cs="Arial"/>
                <w:sz w:val="20"/>
                <w:szCs w:val="20"/>
              </w:rPr>
              <w:t>4</w:t>
            </w:r>
          </w:p>
        </w:tc>
        <w:tc>
          <w:tcPr>
            <w:tcW w:w="2552" w:type="dxa"/>
          </w:tcPr>
          <w:p w14:paraId="3B5562FC" w14:textId="3B29AB12" w:rsidR="00771CF2" w:rsidRPr="004700A0" w:rsidRDefault="00771CF2" w:rsidP="004700A0">
            <w:p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4700A0">
              <w:rPr>
                <w:rFonts w:ascii="IBM Plex Sans" w:hAnsi="IBM Plex Sans" w:cs="Arial"/>
                <w:sz w:val="20"/>
                <w:szCs w:val="20"/>
              </w:rPr>
              <w:t>Otro</w:t>
            </w:r>
          </w:p>
        </w:tc>
        <w:tc>
          <w:tcPr>
            <w:tcW w:w="4671" w:type="dxa"/>
          </w:tcPr>
          <w:p w14:paraId="55C32D1F" w14:textId="002E2F94" w:rsidR="00771CF2" w:rsidRPr="004700A0" w:rsidRDefault="00771CF2" w:rsidP="004700A0">
            <w:pPr>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4700A0">
              <w:rPr>
                <w:rFonts w:ascii="IBM Plex Sans" w:hAnsi="IBM Plex Sans" w:cs="Arial"/>
                <w:sz w:val="20"/>
                <w:szCs w:val="20"/>
              </w:rPr>
              <w:t>Cuando la norma cuenta con otro mecanismo de control que no calce en ninguna de las opciones señaladas anteriormente.</w:t>
            </w:r>
          </w:p>
        </w:tc>
      </w:tr>
      <w:tr w:rsidR="00771CF2" w14:paraId="2953217A" w14:textId="77777777" w:rsidTr="00771C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002060"/>
          </w:tcPr>
          <w:p w14:paraId="0A2D7596" w14:textId="7B7AE1F3" w:rsidR="00771CF2" w:rsidRPr="004700A0" w:rsidRDefault="00771CF2" w:rsidP="004700A0">
            <w:pPr>
              <w:rPr>
                <w:rFonts w:ascii="IBM Plex Sans" w:hAnsi="IBM Plex Sans" w:cs="Arial"/>
                <w:sz w:val="20"/>
                <w:szCs w:val="20"/>
              </w:rPr>
            </w:pPr>
            <w:r w:rsidRPr="004700A0">
              <w:rPr>
                <w:rFonts w:ascii="IBM Plex Sans" w:hAnsi="IBM Plex Sans" w:cs="Arial"/>
                <w:sz w:val="20"/>
                <w:szCs w:val="20"/>
              </w:rPr>
              <w:t>5</w:t>
            </w:r>
          </w:p>
        </w:tc>
        <w:tc>
          <w:tcPr>
            <w:tcW w:w="2552" w:type="dxa"/>
          </w:tcPr>
          <w:p w14:paraId="0D04BCC2" w14:textId="3A0EFDA8" w:rsidR="00771CF2" w:rsidRPr="004700A0" w:rsidRDefault="00771CF2" w:rsidP="004700A0">
            <w:p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4700A0">
              <w:rPr>
                <w:rFonts w:ascii="IBM Plex Sans" w:hAnsi="IBM Plex Sans" w:cs="Arial"/>
                <w:sz w:val="20"/>
                <w:szCs w:val="20"/>
              </w:rPr>
              <w:t>NI</w:t>
            </w:r>
          </w:p>
        </w:tc>
        <w:tc>
          <w:tcPr>
            <w:tcW w:w="4671" w:type="dxa"/>
          </w:tcPr>
          <w:p w14:paraId="09CA19F9" w14:textId="5716C7D2" w:rsidR="00771CF2" w:rsidRPr="004700A0" w:rsidRDefault="00771CF2" w:rsidP="004700A0">
            <w:pPr>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4700A0">
              <w:rPr>
                <w:rFonts w:ascii="IBM Plex Sans" w:hAnsi="IBM Plex Sans" w:cs="Arial"/>
                <w:sz w:val="20"/>
                <w:szCs w:val="20"/>
              </w:rPr>
              <w:t>Cuando la norma no indica un mecanismo de control.</w:t>
            </w:r>
          </w:p>
        </w:tc>
      </w:tr>
    </w:tbl>
    <w:p w14:paraId="21AE9588" w14:textId="06FA1B04" w:rsidR="00A87E40" w:rsidRPr="004700A0" w:rsidRDefault="00CE0264" w:rsidP="004700A0">
      <w:pPr>
        <w:spacing w:line="240" w:lineRule="auto"/>
        <w:jc w:val="both"/>
        <w:rPr>
          <w:rFonts w:ascii="IBM Plex Sans Light" w:hAnsi="IBM Plex Sans Light" w:cs="Arial"/>
          <w:sz w:val="18"/>
          <w:szCs w:val="18"/>
        </w:rPr>
      </w:pPr>
      <w:r w:rsidRPr="004700A0">
        <w:rPr>
          <w:rFonts w:ascii="IBM Plex Sans Light" w:hAnsi="IBM Plex Sans Light" w:cs="Arial"/>
          <w:sz w:val="18"/>
          <w:szCs w:val="18"/>
        </w:rPr>
        <w:t>Fuente: Elaboración propia a partir del Informe final</w:t>
      </w:r>
      <w:r w:rsidR="009D77C2" w:rsidRPr="004700A0">
        <w:rPr>
          <w:rFonts w:ascii="IBM Plex Sans Light" w:hAnsi="IBM Plex Sans Light" w:cs="Arial"/>
          <w:sz w:val="18"/>
          <w:szCs w:val="18"/>
        </w:rPr>
        <w:t>: E</w:t>
      </w:r>
      <w:r w:rsidRPr="004700A0">
        <w:rPr>
          <w:rFonts w:ascii="IBM Plex Sans Light" w:hAnsi="IBM Plex Sans Light" w:cs="Arial"/>
          <w:sz w:val="18"/>
          <w:szCs w:val="18"/>
        </w:rPr>
        <w:t>xoneraciones (Departamento de Servicios Parlamentarios de la Asamblea Legislativa, 2013).</w:t>
      </w:r>
    </w:p>
    <w:p w14:paraId="11139021" w14:textId="77777777" w:rsidR="00CE0264" w:rsidRPr="004700A0" w:rsidRDefault="00CE0264" w:rsidP="004700A0">
      <w:pPr>
        <w:spacing w:line="240" w:lineRule="auto"/>
        <w:jc w:val="both"/>
        <w:rPr>
          <w:rFonts w:ascii="IBM Plex Sans" w:hAnsi="IBM Plex Sans" w:cs="Arial"/>
        </w:rPr>
      </w:pPr>
    </w:p>
    <w:p w14:paraId="4FA7C43C" w14:textId="77777777" w:rsidR="004700A0" w:rsidRPr="004700A0" w:rsidRDefault="00A87E40" w:rsidP="004700A0">
      <w:pPr>
        <w:pStyle w:val="Ttulo2"/>
        <w:rPr>
          <w:rFonts w:ascii="IBM Plex Sans" w:hAnsi="IBM Plex Sans"/>
        </w:rPr>
      </w:pPr>
      <w:bookmarkStart w:id="24" w:name="_Toc86615294"/>
      <w:r w:rsidRPr="004700A0">
        <w:rPr>
          <w:rFonts w:ascii="IBM Plex Sans" w:hAnsi="IBM Plex Sans"/>
        </w:rPr>
        <w:t>1</w:t>
      </w:r>
      <w:r w:rsidR="00623ABD" w:rsidRPr="004700A0">
        <w:rPr>
          <w:rFonts w:ascii="IBM Plex Sans" w:hAnsi="IBM Plex Sans"/>
        </w:rPr>
        <w:t>9</w:t>
      </w:r>
      <w:r w:rsidRPr="004700A0">
        <w:rPr>
          <w:rFonts w:ascii="IBM Plex Sans" w:hAnsi="IBM Plex Sans"/>
        </w:rPr>
        <w:t>. ¿Medida detalla plazo de vigencia? (plazo_vigencia)</w:t>
      </w:r>
      <w:bookmarkEnd w:id="24"/>
    </w:p>
    <w:p w14:paraId="41AB386E" w14:textId="117EFC75" w:rsidR="00A87E40" w:rsidRPr="004700A0" w:rsidRDefault="00A87E40" w:rsidP="004700A0">
      <w:pPr>
        <w:spacing w:line="240" w:lineRule="auto"/>
        <w:jc w:val="both"/>
        <w:rPr>
          <w:rFonts w:ascii="IBM Plex Sans" w:hAnsi="IBM Plex Sans" w:cs="Arial"/>
        </w:rPr>
      </w:pPr>
      <w:r w:rsidRPr="004700A0">
        <w:rPr>
          <w:rFonts w:ascii="IBM Plex Sans" w:hAnsi="IBM Plex Sans" w:cs="Arial"/>
        </w:rPr>
        <w:t>Esta columna está definida para señalar si la medida detalla el plazo de vigencia. Se insertará “Si”, si la respuesta es afirmativa, “No” si es negativa.</w:t>
      </w:r>
    </w:p>
    <w:p w14:paraId="4BF5C64F" w14:textId="5E912594" w:rsidR="0096457D" w:rsidRPr="004700A0" w:rsidRDefault="0096457D" w:rsidP="004700A0">
      <w:pPr>
        <w:spacing w:after="0" w:line="360" w:lineRule="auto"/>
        <w:jc w:val="both"/>
        <w:rPr>
          <w:rFonts w:ascii="IBM Plex Sans Light" w:hAnsi="IBM Plex Sans Light" w:cs="Arial"/>
          <w:b/>
          <w:bCs/>
        </w:rPr>
      </w:pPr>
      <w:r w:rsidRPr="004700A0">
        <w:rPr>
          <w:rFonts w:ascii="IBM Plex Sans Light" w:hAnsi="IBM Plex Sans Light" w:cs="Arial"/>
          <w:b/>
          <w:bCs/>
        </w:rPr>
        <w:t xml:space="preserve">Cuadro </w:t>
      </w:r>
      <w:r w:rsidR="00D22DDD" w:rsidRPr="004700A0">
        <w:rPr>
          <w:rFonts w:ascii="IBM Plex Sans Light" w:hAnsi="IBM Plex Sans Light" w:cs="Arial"/>
          <w:b/>
          <w:bCs/>
        </w:rPr>
        <w:t>11</w:t>
      </w:r>
      <w:r w:rsidRPr="004700A0">
        <w:rPr>
          <w:rFonts w:ascii="IBM Plex Sans Light" w:hAnsi="IBM Plex Sans Light" w:cs="Arial"/>
          <w:b/>
          <w:bCs/>
        </w:rPr>
        <w:t>. Plazo de vigencia de la medida.</w:t>
      </w:r>
    </w:p>
    <w:tbl>
      <w:tblPr>
        <w:tblStyle w:val="Tablaconcuadrcula5oscura-nfasis1"/>
        <w:tblW w:w="0" w:type="auto"/>
        <w:tblLook w:val="04A0" w:firstRow="1" w:lastRow="0" w:firstColumn="1" w:lastColumn="0" w:noHBand="0" w:noVBand="1"/>
      </w:tblPr>
      <w:tblGrid>
        <w:gridCol w:w="1696"/>
        <w:gridCol w:w="2977"/>
      </w:tblGrid>
      <w:tr w:rsidR="00A87E40" w:rsidRPr="00BE1A21" w14:paraId="0F01C59B" w14:textId="77777777" w:rsidTr="004700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gridSpan w:val="2"/>
            <w:shd w:val="clear" w:color="auto" w:fill="002060"/>
          </w:tcPr>
          <w:p w14:paraId="60A0AC60" w14:textId="77777777" w:rsidR="00A87E40" w:rsidRPr="004700A0" w:rsidRDefault="00A87E40" w:rsidP="004700A0">
            <w:pPr>
              <w:jc w:val="center"/>
              <w:rPr>
                <w:rFonts w:ascii="IBM Plex Sans" w:hAnsi="IBM Plex Sans" w:cs="Arial"/>
                <w:color w:val="auto"/>
                <w:sz w:val="20"/>
                <w:szCs w:val="20"/>
              </w:rPr>
            </w:pPr>
            <w:r w:rsidRPr="004700A0">
              <w:rPr>
                <w:rFonts w:ascii="IBM Plex Sans" w:hAnsi="IBM Plex Sans" w:cs="Arial"/>
                <w:color w:val="auto"/>
                <w:sz w:val="20"/>
                <w:szCs w:val="20"/>
              </w:rPr>
              <w:t>Opciones de registro</w:t>
            </w:r>
          </w:p>
        </w:tc>
      </w:tr>
      <w:tr w:rsidR="00A87E40" w:rsidRPr="00BE1A21" w14:paraId="039FB20E" w14:textId="77777777" w:rsidTr="004700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002060"/>
          </w:tcPr>
          <w:p w14:paraId="52067FE8" w14:textId="77777777" w:rsidR="00A87E40" w:rsidRPr="004700A0" w:rsidRDefault="00A87E40" w:rsidP="004700A0">
            <w:pPr>
              <w:jc w:val="center"/>
              <w:rPr>
                <w:rFonts w:ascii="IBM Plex Sans" w:hAnsi="IBM Plex Sans" w:cs="Arial"/>
                <w:color w:val="auto"/>
                <w:sz w:val="20"/>
                <w:szCs w:val="20"/>
              </w:rPr>
            </w:pPr>
            <w:r w:rsidRPr="004700A0">
              <w:rPr>
                <w:rFonts w:ascii="IBM Plex Sans" w:hAnsi="IBM Plex Sans" w:cs="Arial"/>
                <w:color w:val="auto"/>
                <w:sz w:val="20"/>
                <w:szCs w:val="20"/>
              </w:rPr>
              <w:t>SI</w:t>
            </w:r>
          </w:p>
        </w:tc>
        <w:tc>
          <w:tcPr>
            <w:tcW w:w="2977" w:type="dxa"/>
          </w:tcPr>
          <w:p w14:paraId="5E65D4C0" w14:textId="77777777" w:rsidR="00A87E40" w:rsidRPr="004700A0" w:rsidRDefault="00A87E40" w:rsidP="004700A0">
            <w:pPr>
              <w:jc w:val="both"/>
              <w:cnfStyle w:val="000000100000" w:firstRow="0" w:lastRow="0" w:firstColumn="0" w:lastColumn="0" w:oddVBand="0" w:evenVBand="0" w:oddHBand="1" w:evenHBand="0" w:firstRowFirstColumn="0" w:firstRowLastColumn="0" w:lastRowFirstColumn="0" w:lastRowLastColumn="0"/>
              <w:rPr>
                <w:rFonts w:ascii="IBM Plex Sans" w:hAnsi="IBM Plex Sans" w:cs="Arial"/>
                <w:sz w:val="20"/>
                <w:szCs w:val="20"/>
              </w:rPr>
            </w:pPr>
            <w:r w:rsidRPr="004700A0">
              <w:rPr>
                <w:rFonts w:ascii="IBM Plex Sans" w:hAnsi="IBM Plex Sans" w:cs="Arial"/>
                <w:sz w:val="20"/>
                <w:szCs w:val="20"/>
              </w:rPr>
              <w:t>Respuesta afirmativa</w:t>
            </w:r>
          </w:p>
        </w:tc>
      </w:tr>
      <w:tr w:rsidR="00A87E40" w:rsidRPr="00BE1A21" w14:paraId="0616DCB0" w14:textId="77777777" w:rsidTr="004700A0">
        <w:tc>
          <w:tcPr>
            <w:cnfStyle w:val="001000000000" w:firstRow="0" w:lastRow="0" w:firstColumn="1" w:lastColumn="0" w:oddVBand="0" w:evenVBand="0" w:oddHBand="0" w:evenHBand="0" w:firstRowFirstColumn="0" w:firstRowLastColumn="0" w:lastRowFirstColumn="0" w:lastRowLastColumn="0"/>
            <w:tcW w:w="1696" w:type="dxa"/>
            <w:shd w:val="clear" w:color="auto" w:fill="002060"/>
          </w:tcPr>
          <w:p w14:paraId="207E7092" w14:textId="77777777" w:rsidR="00A87E40" w:rsidRPr="004700A0" w:rsidRDefault="00A87E40" w:rsidP="004700A0">
            <w:pPr>
              <w:jc w:val="center"/>
              <w:rPr>
                <w:rFonts w:ascii="IBM Plex Sans" w:hAnsi="IBM Plex Sans" w:cs="Arial"/>
                <w:color w:val="auto"/>
                <w:sz w:val="20"/>
                <w:szCs w:val="20"/>
              </w:rPr>
            </w:pPr>
            <w:r w:rsidRPr="004700A0">
              <w:rPr>
                <w:rFonts w:ascii="IBM Plex Sans" w:hAnsi="IBM Plex Sans" w:cs="Arial"/>
                <w:color w:val="auto"/>
                <w:sz w:val="20"/>
                <w:szCs w:val="20"/>
              </w:rPr>
              <w:t>NO</w:t>
            </w:r>
          </w:p>
        </w:tc>
        <w:tc>
          <w:tcPr>
            <w:tcW w:w="2977" w:type="dxa"/>
          </w:tcPr>
          <w:p w14:paraId="2DB14E55" w14:textId="77777777" w:rsidR="00A87E40" w:rsidRPr="004700A0" w:rsidRDefault="00A87E40" w:rsidP="004700A0">
            <w:pPr>
              <w:jc w:val="both"/>
              <w:cnfStyle w:val="000000000000" w:firstRow="0" w:lastRow="0" w:firstColumn="0" w:lastColumn="0" w:oddVBand="0" w:evenVBand="0" w:oddHBand="0" w:evenHBand="0" w:firstRowFirstColumn="0" w:firstRowLastColumn="0" w:lastRowFirstColumn="0" w:lastRowLastColumn="0"/>
              <w:rPr>
                <w:rFonts w:ascii="IBM Plex Sans" w:hAnsi="IBM Plex Sans" w:cs="Arial"/>
                <w:sz w:val="20"/>
                <w:szCs w:val="20"/>
              </w:rPr>
            </w:pPr>
            <w:r w:rsidRPr="004700A0">
              <w:rPr>
                <w:rFonts w:ascii="IBM Plex Sans" w:hAnsi="IBM Plex Sans" w:cs="Arial"/>
                <w:sz w:val="20"/>
                <w:szCs w:val="20"/>
              </w:rPr>
              <w:t>Respuesta negativa</w:t>
            </w:r>
          </w:p>
        </w:tc>
      </w:tr>
    </w:tbl>
    <w:p w14:paraId="361CFC31" w14:textId="6769AA1E" w:rsidR="00A87E40" w:rsidRPr="004700A0" w:rsidRDefault="0096457D" w:rsidP="004700A0">
      <w:pPr>
        <w:spacing w:line="240" w:lineRule="auto"/>
        <w:jc w:val="both"/>
        <w:rPr>
          <w:rFonts w:ascii="IBM Plex Sans Light" w:hAnsi="IBM Plex Sans Light" w:cs="Arial"/>
          <w:sz w:val="18"/>
          <w:szCs w:val="18"/>
        </w:rPr>
      </w:pPr>
      <w:r w:rsidRPr="004700A0">
        <w:rPr>
          <w:rFonts w:ascii="IBM Plex Sans Light" w:hAnsi="IBM Plex Sans Light" w:cs="Arial"/>
          <w:sz w:val="18"/>
          <w:szCs w:val="18"/>
        </w:rPr>
        <w:t>Fuente: Elaboración propia.</w:t>
      </w:r>
    </w:p>
    <w:p w14:paraId="53DA9474" w14:textId="77777777" w:rsidR="0096457D" w:rsidRPr="004700A0" w:rsidRDefault="0096457D" w:rsidP="004700A0">
      <w:pPr>
        <w:spacing w:line="240" w:lineRule="auto"/>
        <w:jc w:val="both"/>
        <w:rPr>
          <w:rFonts w:ascii="IBM Plex Sans" w:hAnsi="IBM Plex Sans" w:cs="Arial"/>
        </w:rPr>
      </w:pPr>
    </w:p>
    <w:p w14:paraId="0CEB6A84" w14:textId="77777777" w:rsidR="004700A0" w:rsidRPr="004700A0" w:rsidRDefault="00D22DDD" w:rsidP="004700A0">
      <w:pPr>
        <w:pStyle w:val="Ttulo2"/>
        <w:rPr>
          <w:rFonts w:ascii="IBM Plex Sans" w:hAnsi="IBM Plex Sans"/>
        </w:rPr>
      </w:pPr>
      <w:bookmarkStart w:id="25" w:name="_Toc86615295"/>
      <w:r w:rsidRPr="004700A0">
        <w:rPr>
          <w:rFonts w:ascii="IBM Plex Sans" w:hAnsi="IBM Plex Sans"/>
        </w:rPr>
        <w:t>20</w:t>
      </w:r>
      <w:r w:rsidR="00A87E40" w:rsidRPr="004700A0">
        <w:rPr>
          <w:rFonts w:ascii="IBM Plex Sans" w:hAnsi="IBM Plex Sans"/>
        </w:rPr>
        <w:t>. Texto de plazo de vigencia (texto_vigencia)</w:t>
      </w:r>
      <w:bookmarkEnd w:id="25"/>
    </w:p>
    <w:p w14:paraId="1103BCBE" w14:textId="093D3A1F" w:rsidR="00A87E40" w:rsidRPr="004700A0" w:rsidRDefault="00A87E40" w:rsidP="004700A0">
      <w:pPr>
        <w:spacing w:line="240" w:lineRule="auto"/>
        <w:jc w:val="both"/>
        <w:rPr>
          <w:rFonts w:ascii="IBM Plex Sans" w:hAnsi="IBM Plex Sans" w:cs="Arial"/>
        </w:rPr>
      </w:pPr>
      <w:r w:rsidRPr="004700A0">
        <w:rPr>
          <w:rFonts w:ascii="IBM Plex Sans" w:hAnsi="IBM Plex Sans" w:cs="Arial"/>
        </w:rPr>
        <w:t>Debe registrarse el texto completo del plazo de vigencia la norma. En caso de que el documento no indique explícitamente el plazo de vigencia, se deberá registrarse “NI”.</w:t>
      </w:r>
    </w:p>
    <w:p w14:paraId="3EB5F7E4" w14:textId="77777777" w:rsidR="004700A0" w:rsidRPr="004700A0" w:rsidRDefault="00D22DDD" w:rsidP="004700A0">
      <w:pPr>
        <w:pStyle w:val="Ttulo2"/>
        <w:rPr>
          <w:rFonts w:ascii="IBM Plex Sans" w:hAnsi="IBM Plex Sans"/>
        </w:rPr>
      </w:pPr>
      <w:bookmarkStart w:id="26" w:name="_Toc86615296"/>
      <w:r w:rsidRPr="004700A0">
        <w:rPr>
          <w:rFonts w:ascii="IBM Plex Sans" w:hAnsi="IBM Plex Sans"/>
        </w:rPr>
        <w:t>21. Fecha de vigencia</w:t>
      </w:r>
      <w:r w:rsidR="0027795F" w:rsidRPr="004700A0">
        <w:rPr>
          <w:rFonts w:ascii="IBM Plex Sans" w:hAnsi="IBM Plex Sans"/>
        </w:rPr>
        <w:t xml:space="preserve"> de la medida</w:t>
      </w:r>
      <w:r w:rsidRPr="004700A0">
        <w:rPr>
          <w:rFonts w:ascii="IBM Plex Sans" w:hAnsi="IBM Plex Sans"/>
        </w:rPr>
        <w:t xml:space="preserve"> (fecha_vigencia)</w:t>
      </w:r>
      <w:bookmarkEnd w:id="26"/>
    </w:p>
    <w:p w14:paraId="0C183983" w14:textId="4E0C08AF" w:rsidR="00753A5B" w:rsidRPr="004700A0" w:rsidRDefault="00D22DDD" w:rsidP="004700A0">
      <w:pPr>
        <w:spacing w:line="240" w:lineRule="auto"/>
        <w:jc w:val="both"/>
        <w:rPr>
          <w:rFonts w:ascii="IBM Plex Sans" w:hAnsi="IBM Plex Sans" w:cs="Arial"/>
        </w:rPr>
      </w:pPr>
      <w:r w:rsidRPr="004700A0">
        <w:rPr>
          <w:rFonts w:ascii="IBM Plex Sans" w:hAnsi="IBM Plex Sans" w:cs="Arial"/>
        </w:rPr>
        <w:t>Corresponde a la fecha de vigencia de la medida</w:t>
      </w:r>
      <w:r w:rsidR="002D15A0" w:rsidRPr="004700A0">
        <w:rPr>
          <w:rFonts w:ascii="IBM Plex Sans" w:hAnsi="IBM Plex Sans" w:cs="Arial"/>
        </w:rPr>
        <w:t>,</w:t>
      </w:r>
      <w:r w:rsidR="00E2508F" w:rsidRPr="004700A0">
        <w:rPr>
          <w:rFonts w:ascii="IBM Plex Sans" w:hAnsi="IBM Plex Sans" w:cs="Arial"/>
        </w:rPr>
        <w:t xml:space="preserve"> es decir, </w:t>
      </w:r>
      <w:r w:rsidR="00CC579B" w:rsidRPr="004700A0">
        <w:rPr>
          <w:rFonts w:ascii="IBM Plex Sans" w:hAnsi="IBM Plex Sans" w:cs="Arial"/>
        </w:rPr>
        <w:t xml:space="preserve">cuando </w:t>
      </w:r>
      <w:r w:rsidR="00E2508F" w:rsidRPr="004700A0">
        <w:rPr>
          <w:rFonts w:ascii="IBM Plex Sans" w:hAnsi="IBM Plex Sans" w:cs="Arial"/>
        </w:rPr>
        <w:t>la medida comienza a regir</w:t>
      </w:r>
      <w:r w:rsidRPr="004700A0">
        <w:rPr>
          <w:rFonts w:ascii="IBM Plex Sans" w:hAnsi="IBM Plex Sans" w:cs="Arial"/>
        </w:rPr>
        <w:t xml:space="preserve">. Para efectos de la base de datos, la fecha </w:t>
      </w:r>
      <w:r w:rsidR="003867C7" w:rsidRPr="004700A0">
        <w:rPr>
          <w:rFonts w:ascii="IBM Plex Sans" w:hAnsi="IBM Plex Sans" w:cs="Arial"/>
        </w:rPr>
        <w:t xml:space="preserve">siempre se </w:t>
      </w:r>
      <w:r w:rsidRPr="004700A0">
        <w:rPr>
          <w:rFonts w:ascii="IBM Plex Sans" w:hAnsi="IBM Plex Sans" w:cs="Arial"/>
        </w:rPr>
        <w:t>debe registrar con el formato Día/Mes/Año siempre. Por ejemplo, el 18 de marzo de 2020 debe indicarse de la siguiente forma: 18/3/2020.</w:t>
      </w:r>
      <w:r w:rsidR="00F271CB" w:rsidRPr="004700A0">
        <w:rPr>
          <w:rFonts w:ascii="IBM Plex Sans" w:hAnsi="IBM Plex Sans" w:cs="Arial"/>
        </w:rPr>
        <w:t xml:space="preserve"> En caso de que el </w:t>
      </w:r>
      <w:r w:rsidR="00FB6975" w:rsidRPr="004700A0">
        <w:rPr>
          <w:rFonts w:ascii="IBM Plex Sans" w:hAnsi="IBM Plex Sans" w:cs="Arial"/>
        </w:rPr>
        <w:t xml:space="preserve">documento </w:t>
      </w:r>
      <w:r w:rsidR="00F271CB" w:rsidRPr="004700A0">
        <w:rPr>
          <w:rFonts w:ascii="IBM Plex Sans" w:hAnsi="IBM Plex Sans" w:cs="Arial"/>
        </w:rPr>
        <w:t>no indique</w:t>
      </w:r>
      <w:r w:rsidR="00FB6975" w:rsidRPr="004700A0">
        <w:rPr>
          <w:rFonts w:ascii="IBM Plex Sans" w:hAnsi="IBM Plex Sans" w:cs="Arial"/>
        </w:rPr>
        <w:t xml:space="preserve"> explícitamente</w:t>
      </w:r>
      <w:r w:rsidR="00F271CB" w:rsidRPr="004700A0">
        <w:rPr>
          <w:rFonts w:ascii="IBM Plex Sans" w:hAnsi="IBM Plex Sans" w:cs="Arial"/>
        </w:rPr>
        <w:t xml:space="preserve"> la fecha de vigencia, se deberá </w:t>
      </w:r>
      <w:r w:rsidR="00FB6975" w:rsidRPr="004700A0">
        <w:rPr>
          <w:rFonts w:ascii="IBM Plex Sans" w:hAnsi="IBM Plex Sans" w:cs="Arial"/>
        </w:rPr>
        <w:t>registrarse</w:t>
      </w:r>
      <w:r w:rsidR="00F271CB" w:rsidRPr="004700A0">
        <w:rPr>
          <w:rFonts w:ascii="IBM Plex Sans" w:hAnsi="IBM Plex Sans" w:cs="Arial"/>
        </w:rPr>
        <w:t xml:space="preserve"> “NI”.</w:t>
      </w:r>
    </w:p>
    <w:p w14:paraId="0DBD1DA0" w14:textId="77777777" w:rsidR="00753A5B" w:rsidRPr="004700A0" w:rsidRDefault="00753A5B" w:rsidP="004700A0">
      <w:pPr>
        <w:spacing w:line="240" w:lineRule="auto"/>
        <w:rPr>
          <w:rFonts w:ascii="IBM Plex Sans" w:hAnsi="IBM Plex Sans" w:cs="Arial"/>
        </w:rPr>
      </w:pPr>
      <w:r w:rsidRPr="004700A0">
        <w:rPr>
          <w:rFonts w:ascii="IBM Plex Sans" w:hAnsi="IBM Plex Sans" w:cs="Arial"/>
        </w:rPr>
        <w:br w:type="page"/>
      </w:r>
    </w:p>
    <w:p w14:paraId="4926F097" w14:textId="3F3D1FC5" w:rsidR="00371DE1" w:rsidRPr="004700A0" w:rsidRDefault="008E6F43" w:rsidP="004700A0">
      <w:pPr>
        <w:pStyle w:val="Ttulo1"/>
        <w:spacing w:after="240"/>
        <w:rPr>
          <w:rFonts w:ascii="IBM Plex Sans" w:hAnsi="IBM Plex Sans"/>
        </w:rPr>
      </w:pPr>
      <w:bookmarkStart w:id="27" w:name="_Toc86615297"/>
      <w:r w:rsidRPr="004700A0">
        <w:rPr>
          <w:rFonts w:ascii="IBM Plex Sans" w:hAnsi="IBM Plex Sans"/>
        </w:rPr>
        <w:lastRenderedPageBreak/>
        <w:t xml:space="preserve">V. </w:t>
      </w:r>
      <w:r w:rsidR="00A87E40" w:rsidRPr="004700A0">
        <w:rPr>
          <w:rFonts w:ascii="IBM Plex Sans" w:hAnsi="IBM Plex Sans"/>
        </w:rPr>
        <w:t>Referencias bibliográficas</w:t>
      </w:r>
      <w:bookmarkEnd w:id="27"/>
    </w:p>
    <w:p w14:paraId="75E89D0E" w14:textId="77777777" w:rsidR="0000189D" w:rsidRPr="004700A0" w:rsidRDefault="0000189D" w:rsidP="004700A0">
      <w:pPr>
        <w:spacing w:line="240" w:lineRule="auto"/>
        <w:ind w:left="720" w:hanging="720"/>
        <w:jc w:val="both"/>
        <w:rPr>
          <w:rFonts w:ascii="IBM Plex Sans" w:hAnsi="IBM Plex Sans" w:cs="Arial"/>
        </w:rPr>
      </w:pPr>
      <w:r w:rsidRPr="004700A0">
        <w:rPr>
          <w:rFonts w:ascii="IBM Plex Sans" w:hAnsi="IBM Plex Sans" w:cs="Arial"/>
        </w:rPr>
        <w:t xml:space="preserve">Arévola Jordán, V. (2003). Diccionario de términos archivísticos. Ediciones del Sur. Buenos Aires. Recuperado en: </w:t>
      </w:r>
      <w:hyperlink r:id="rId10" w:history="1">
        <w:r w:rsidRPr="004700A0">
          <w:rPr>
            <w:rStyle w:val="Hipervnculo"/>
            <w:rFonts w:ascii="IBM Plex Sans" w:hAnsi="IBM Plex Sans" w:cs="Arial"/>
            <w:color w:val="auto"/>
            <w:u w:val="none"/>
          </w:rPr>
          <w:t>http://www.actiweb.es/itsam/archivo8.pdf</w:t>
        </w:r>
      </w:hyperlink>
    </w:p>
    <w:p w14:paraId="68059B55" w14:textId="511FA2D0" w:rsidR="003D66CF" w:rsidRPr="004700A0" w:rsidRDefault="003D66CF" w:rsidP="004700A0">
      <w:pPr>
        <w:spacing w:line="240" w:lineRule="auto"/>
        <w:ind w:left="720" w:hanging="720"/>
        <w:jc w:val="both"/>
        <w:rPr>
          <w:rFonts w:ascii="IBM Plex Sans" w:hAnsi="IBM Plex Sans" w:cs="Arial"/>
        </w:rPr>
      </w:pPr>
      <w:r w:rsidRPr="004700A0">
        <w:rPr>
          <w:rFonts w:ascii="IBM Plex Sans" w:hAnsi="IBM Plex Sans" w:cs="Arial"/>
        </w:rPr>
        <w:t>Centro de Información Jurídica en Línea. (s.f.). Convenios de colaboración y cooperación.</w:t>
      </w:r>
    </w:p>
    <w:p w14:paraId="57FE1DB5" w14:textId="7576C236" w:rsidR="00CE0264" w:rsidRPr="004700A0" w:rsidRDefault="00CE0264" w:rsidP="004700A0">
      <w:pPr>
        <w:spacing w:line="240" w:lineRule="auto"/>
        <w:ind w:left="720" w:hanging="720"/>
        <w:jc w:val="both"/>
        <w:rPr>
          <w:rFonts w:ascii="IBM Plex Sans" w:hAnsi="IBM Plex Sans" w:cs="Arial"/>
        </w:rPr>
      </w:pPr>
      <w:r w:rsidRPr="004700A0">
        <w:rPr>
          <w:rFonts w:ascii="IBM Plex Sans" w:hAnsi="IBM Plex Sans" w:cs="Arial"/>
        </w:rPr>
        <w:t>Departamento de Servicios Parlamentarios de la Asamblea Legislativa. (2013). Informe final</w:t>
      </w:r>
      <w:r w:rsidR="009D77C2" w:rsidRPr="004700A0">
        <w:rPr>
          <w:rFonts w:ascii="IBM Plex Sans" w:hAnsi="IBM Plex Sans" w:cs="Arial"/>
        </w:rPr>
        <w:t>: E</w:t>
      </w:r>
      <w:r w:rsidRPr="004700A0">
        <w:rPr>
          <w:rFonts w:ascii="IBM Plex Sans" w:hAnsi="IBM Plex Sans" w:cs="Arial"/>
        </w:rPr>
        <w:t xml:space="preserve">xoneraciones ¿Quién se beneficia en </w:t>
      </w:r>
      <w:r w:rsidR="009D77C2" w:rsidRPr="004700A0">
        <w:rPr>
          <w:rFonts w:ascii="IBM Plex Sans" w:hAnsi="IBM Plex Sans" w:cs="Arial"/>
        </w:rPr>
        <w:t>Costa Rica?</w:t>
      </w:r>
    </w:p>
    <w:p w14:paraId="12E32569" w14:textId="77777777" w:rsidR="000457DF" w:rsidRPr="004700A0" w:rsidRDefault="000457DF" w:rsidP="004700A0">
      <w:pPr>
        <w:spacing w:line="240" w:lineRule="auto"/>
        <w:ind w:left="720" w:hanging="720"/>
        <w:jc w:val="both"/>
        <w:rPr>
          <w:rFonts w:ascii="IBM Plex Sans" w:hAnsi="IBM Plex Sans" w:cs="Arial"/>
        </w:rPr>
      </w:pPr>
      <w:r w:rsidRPr="004700A0">
        <w:rPr>
          <w:rFonts w:ascii="IBM Plex Sans" w:hAnsi="IBM Plex Sans" w:cs="Arial"/>
        </w:rPr>
        <w:t xml:space="preserve">Huerta Ochoa, C. (2003). La acción de inconstitucionalidad como control abstracto de conflictos normativos. Boletín Mexicano de Derecho Comparado, vol. XXXVI, núm. 108, pp. 927-950. Recuperado en: </w:t>
      </w:r>
      <w:hyperlink r:id="rId11" w:history="1">
        <w:r w:rsidRPr="004700A0">
          <w:rPr>
            <w:rStyle w:val="Hipervnculo"/>
            <w:rFonts w:ascii="IBM Plex Sans" w:hAnsi="IBM Plex Sans" w:cs="Arial"/>
            <w:color w:val="auto"/>
            <w:u w:val="none"/>
          </w:rPr>
          <w:t>https://www.redalyc.org/pdf/427/42710806.pdf</w:t>
        </w:r>
      </w:hyperlink>
    </w:p>
    <w:p w14:paraId="473808C3" w14:textId="51A7FBC1" w:rsidR="00E8543E" w:rsidRPr="004700A0" w:rsidRDefault="00E8543E" w:rsidP="004700A0">
      <w:pPr>
        <w:spacing w:line="240" w:lineRule="auto"/>
        <w:ind w:left="720" w:hanging="720"/>
        <w:jc w:val="both"/>
        <w:rPr>
          <w:rFonts w:ascii="IBM Plex Sans" w:hAnsi="IBM Plex Sans" w:cs="Arial"/>
        </w:rPr>
      </w:pPr>
      <w:r w:rsidRPr="004700A0">
        <w:rPr>
          <w:rFonts w:ascii="IBM Plex Sans" w:hAnsi="IBM Plex Sans" w:cs="Arial"/>
        </w:rPr>
        <w:t xml:space="preserve">MIDEPLAN. (2020). Listado de las instituciones públicas según naturaleza jurídica. Recuperado en: </w:t>
      </w:r>
      <w:hyperlink r:id="rId12" w:history="1">
        <w:r w:rsidRPr="004700A0">
          <w:rPr>
            <w:rStyle w:val="Hipervnculo"/>
            <w:rFonts w:ascii="IBM Plex Sans" w:hAnsi="IBM Plex Sans" w:cs="Arial"/>
            <w:color w:val="auto"/>
            <w:u w:val="none"/>
          </w:rPr>
          <w:t>https://www.mideplan.go.cr/diseno-organizacional</w:t>
        </w:r>
      </w:hyperlink>
    </w:p>
    <w:p w14:paraId="19889C40" w14:textId="1CDCA6F7" w:rsidR="00447FD8" w:rsidRPr="004700A0" w:rsidRDefault="00447FD8" w:rsidP="004700A0">
      <w:pPr>
        <w:spacing w:line="240" w:lineRule="auto"/>
        <w:ind w:left="720" w:hanging="720"/>
        <w:jc w:val="both"/>
        <w:rPr>
          <w:rFonts w:ascii="IBM Plex Sans" w:hAnsi="IBM Plex Sans" w:cs="Arial"/>
        </w:rPr>
      </w:pPr>
      <w:r w:rsidRPr="004700A0">
        <w:rPr>
          <w:rFonts w:ascii="IBM Plex Sans" w:hAnsi="IBM Plex Sans" w:cs="Arial"/>
        </w:rPr>
        <w:t>Programa Estado de la Nación. (2019). Manual metodológico de la base de datos de decretos ejecutivos de convocatoria a sesiones extraordinarias de la Asamblea Legislativa en Costa Rica.</w:t>
      </w:r>
    </w:p>
    <w:p w14:paraId="3CE564EC" w14:textId="77777777" w:rsidR="00E96D35" w:rsidRPr="004700A0" w:rsidRDefault="00E96D35" w:rsidP="004700A0">
      <w:pPr>
        <w:spacing w:line="240" w:lineRule="auto"/>
        <w:ind w:left="720" w:hanging="720"/>
        <w:jc w:val="both"/>
        <w:rPr>
          <w:rFonts w:ascii="IBM Plex Sans" w:hAnsi="IBM Plex Sans" w:cs="Arial"/>
        </w:rPr>
      </w:pPr>
      <w:r w:rsidRPr="004700A0">
        <w:rPr>
          <w:rFonts w:ascii="IBM Plex Sans" w:hAnsi="IBM Plex Sans" w:cs="Arial"/>
        </w:rPr>
        <w:t>Programa Estado de la Nación. (2019). Manual metodológico de la base de datos de decretos ejecutivos en Costa Rica.</w:t>
      </w:r>
    </w:p>
    <w:p w14:paraId="082562FD" w14:textId="77777777" w:rsidR="00E96D35" w:rsidRPr="004700A0" w:rsidRDefault="00E96D35" w:rsidP="004700A0">
      <w:pPr>
        <w:spacing w:line="240" w:lineRule="auto"/>
        <w:ind w:left="720" w:hanging="720"/>
        <w:jc w:val="both"/>
        <w:rPr>
          <w:rFonts w:ascii="IBM Plex Sans" w:hAnsi="IBM Plex Sans" w:cs="Arial"/>
        </w:rPr>
      </w:pPr>
      <w:r w:rsidRPr="004700A0">
        <w:rPr>
          <w:rFonts w:ascii="IBM Plex Sans" w:hAnsi="IBM Plex Sans" w:cs="Arial"/>
        </w:rPr>
        <w:t>Programa Estado de la Nación. (2017). Manual metodológico del análisis de programas de gobierno de partidos políticos en Costa Rica para las elecciones nacionales de 2018.</w:t>
      </w:r>
    </w:p>
    <w:p w14:paraId="28DF0ABC" w14:textId="77777777" w:rsidR="0000189D" w:rsidRPr="004700A0" w:rsidRDefault="0000189D" w:rsidP="004700A0">
      <w:pPr>
        <w:spacing w:line="240" w:lineRule="auto"/>
        <w:ind w:left="720" w:hanging="720"/>
        <w:jc w:val="both"/>
        <w:rPr>
          <w:rFonts w:ascii="IBM Plex Sans" w:hAnsi="IBM Plex Sans"/>
        </w:rPr>
      </w:pPr>
      <w:r w:rsidRPr="004700A0">
        <w:rPr>
          <w:rFonts w:ascii="IBM Plex Sans" w:hAnsi="IBM Plex Sans" w:cs="Arial"/>
        </w:rPr>
        <w:t xml:space="preserve">Tribunal Registral Administrativo. (2018). Instructivo para la elaboración de tipos documentales. Recuperado en: </w:t>
      </w:r>
      <w:hyperlink r:id="rId13" w:history="1">
        <w:r w:rsidRPr="004700A0">
          <w:rPr>
            <w:rStyle w:val="Hipervnculo"/>
            <w:rFonts w:ascii="IBM Plex Sans" w:hAnsi="IBM Plex Sans" w:cs="Arial"/>
            <w:color w:val="auto"/>
            <w:u w:val="none"/>
          </w:rPr>
          <w:t>https://www.tra.go.cr/sites/default/files/Instructivo%20para%20la%20elaboracion%20de%20tipos%20documentales.pdf</w:t>
        </w:r>
      </w:hyperlink>
    </w:p>
    <w:p w14:paraId="0CF65261" w14:textId="77777777" w:rsidR="00485D4E" w:rsidRPr="004700A0" w:rsidRDefault="00485D4E" w:rsidP="004700A0">
      <w:pPr>
        <w:spacing w:line="240" w:lineRule="auto"/>
        <w:ind w:left="720" w:hanging="720"/>
        <w:jc w:val="both"/>
        <w:rPr>
          <w:rFonts w:ascii="IBM Plex Sans" w:hAnsi="IBM Plex Sans" w:cs="Arial"/>
        </w:rPr>
      </w:pPr>
      <w:r w:rsidRPr="004700A0">
        <w:rPr>
          <w:rFonts w:ascii="IBM Plex Sans" w:hAnsi="IBM Plex Sans" w:cs="Arial"/>
        </w:rPr>
        <w:t xml:space="preserve">Valdelande, V. (2007). Documentación de resoluciones y acuerdos. Recuperado en: </w:t>
      </w:r>
      <w:hyperlink r:id="rId14" w:history="1">
        <w:r w:rsidRPr="004700A0">
          <w:rPr>
            <w:rStyle w:val="Hipervnculo"/>
            <w:rFonts w:ascii="IBM Plex Sans" w:hAnsi="IBM Plex Sans" w:cs="Arial"/>
            <w:color w:val="auto"/>
            <w:u w:val="none"/>
          </w:rPr>
          <w:t>http://guiasjuridicas.wolterskluwer.es/Content/Documento.aspx?params=H4sIAAAAAAAEAMtMSbF1jTAAA0tTUzO1stSi4sz8PFsjAwNzQ0NDY5BAZlqlS35ySGVBqm1aYk5xKgAEXUHoNQAAAA==WKE</w:t>
        </w:r>
      </w:hyperlink>
    </w:p>
    <w:p w14:paraId="0FAB8CB7" w14:textId="60C3188C" w:rsidR="0000189D" w:rsidRPr="004700A0" w:rsidRDefault="0000189D" w:rsidP="004700A0">
      <w:pPr>
        <w:spacing w:line="240" w:lineRule="auto"/>
        <w:ind w:left="720" w:hanging="720"/>
        <w:jc w:val="both"/>
        <w:rPr>
          <w:rFonts w:ascii="IBM Plex Sans" w:hAnsi="IBM Plex Sans" w:cs="Arial"/>
        </w:rPr>
      </w:pPr>
    </w:p>
    <w:sectPr w:rsidR="0000189D" w:rsidRPr="004700A0" w:rsidSect="0000189D">
      <w:footerReference w:type="default" r:id="rId15"/>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801EC" w14:textId="77777777" w:rsidR="00A07CE3" w:rsidRDefault="00A07CE3" w:rsidP="0000189D">
      <w:pPr>
        <w:spacing w:after="0" w:line="240" w:lineRule="auto"/>
      </w:pPr>
      <w:r>
        <w:separator/>
      </w:r>
    </w:p>
  </w:endnote>
  <w:endnote w:type="continuationSeparator" w:id="0">
    <w:p w14:paraId="279A5F13" w14:textId="77777777" w:rsidR="00A07CE3" w:rsidRDefault="00A07CE3" w:rsidP="00001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w:panose1 w:val="020B0503050203000203"/>
    <w:charset w:val="00"/>
    <w:family w:val="swiss"/>
    <w:pitch w:val="variable"/>
    <w:sig w:usb0="A00002EF" w:usb1="5000207B" w:usb2="00000000" w:usb3="00000000" w:csb0="0000019F" w:csb1="00000000"/>
  </w:font>
  <w:font w:name="IBM Plex Sans Light">
    <w:panose1 w:val="020B0403050203000203"/>
    <w:charset w:val="00"/>
    <w:family w:val="swiss"/>
    <w:pitch w:val="variable"/>
    <w:sig w:usb0="A00002EF" w:usb1="5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986750"/>
      <w:docPartObj>
        <w:docPartGallery w:val="Page Numbers (Bottom of Page)"/>
        <w:docPartUnique/>
      </w:docPartObj>
    </w:sdtPr>
    <w:sdtContent>
      <w:p w14:paraId="5413E885" w14:textId="230A4F65" w:rsidR="004700A0" w:rsidRDefault="004700A0">
        <w:pPr>
          <w:pStyle w:val="Piedepgina"/>
          <w:jc w:val="right"/>
        </w:pPr>
        <w:r>
          <w:fldChar w:fldCharType="begin"/>
        </w:r>
        <w:r>
          <w:instrText>PAGE   \* MERGEFORMAT</w:instrText>
        </w:r>
        <w:r>
          <w:fldChar w:fldCharType="separate"/>
        </w:r>
        <w:r>
          <w:rPr>
            <w:lang w:val="es-ES"/>
          </w:rPr>
          <w:t>2</w:t>
        </w:r>
        <w:r>
          <w:fldChar w:fldCharType="end"/>
        </w:r>
      </w:p>
    </w:sdtContent>
  </w:sdt>
  <w:p w14:paraId="243D09AC" w14:textId="77777777" w:rsidR="00833675" w:rsidRDefault="008336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5228B" w14:textId="77777777" w:rsidR="00A07CE3" w:rsidRDefault="00A07CE3" w:rsidP="0000189D">
      <w:pPr>
        <w:spacing w:after="0" w:line="240" w:lineRule="auto"/>
      </w:pPr>
      <w:r>
        <w:separator/>
      </w:r>
    </w:p>
  </w:footnote>
  <w:footnote w:type="continuationSeparator" w:id="0">
    <w:p w14:paraId="29FA2C08" w14:textId="77777777" w:rsidR="00A07CE3" w:rsidRDefault="00A07CE3" w:rsidP="000018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400"/>
    <w:multiLevelType w:val="hybridMultilevel"/>
    <w:tmpl w:val="3A3C5CE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 w15:restartNumberingAfterBreak="0">
    <w:nsid w:val="04C47872"/>
    <w:multiLevelType w:val="hybridMultilevel"/>
    <w:tmpl w:val="FA0C47A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D37D06"/>
    <w:multiLevelType w:val="multilevel"/>
    <w:tmpl w:val="A19EBDB4"/>
    <w:lvl w:ilvl="0">
      <w:start w:val="1"/>
      <w:numFmt w:val="decimal"/>
      <w:lvlText w:val="22.%1"/>
      <w:lvlJc w:val="left"/>
      <w:pPr>
        <w:ind w:left="357" w:hanging="357"/>
      </w:pPr>
      <w:rPr>
        <w:rFonts w:hint="default"/>
        <w:b/>
        <w:bCs/>
      </w:rPr>
    </w:lvl>
    <w:lvl w:ilvl="1">
      <w:start w:val="1"/>
      <w:numFmt w:val="decimal"/>
      <w:lvlText w:val="7.%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 w15:restartNumberingAfterBreak="0">
    <w:nsid w:val="099243F8"/>
    <w:multiLevelType w:val="multilevel"/>
    <w:tmpl w:val="FAFE73A2"/>
    <w:lvl w:ilvl="0">
      <w:start w:val="1"/>
      <w:numFmt w:val="decimal"/>
      <w:lvlText w:val="18.%1"/>
      <w:lvlJc w:val="left"/>
      <w:pPr>
        <w:ind w:left="567" w:hanging="567"/>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BA3AFF"/>
    <w:multiLevelType w:val="hybridMultilevel"/>
    <w:tmpl w:val="96AEF4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B0631"/>
    <w:multiLevelType w:val="multilevel"/>
    <w:tmpl w:val="B34C186E"/>
    <w:lvl w:ilvl="0">
      <w:start w:val="1"/>
      <w:numFmt w:val="decimal"/>
      <w:lvlText w:val="22.%1"/>
      <w:lvlJc w:val="left"/>
      <w:pPr>
        <w:ind w:left="357" w:hanging="357"/>
      </w:pPr>
      <w:rPr>
        <w:rFonts w:hint="default"/>
        <w:b/>
        <w:bCs/>
      </w:rPr>
    </w:lvl>
    <w:lvl w:ilvl="1">
      <w:start w:val="1"/>
      <w:numFmt w:val="decimal"/>
      <w:lvlText w:val="7.%2."/>
      <w:lvlJc w:val="left"/>
      <w:pPr>
        <w:ind w:left="754" w:hanging="357"/>
      </w:pPr>
      <w:rPr>
        <w:rFonts w:hint="default"/>
      </w:rPr>
    </w:lvl>
    <w:lvl w:ilvl="2">
      <w:start w:val="1"/>
      <w:numFmt w:val="decimal"/>
      <w:lvlText w:val="%1.%2.%3."/>
      <w:lvlJc w:val="left"/>
      <w:pPr>
        <w:ind w:left="1151" w:hanging="357"/>
      </w:pPr>
      <w:rPr>
        <w:rFonts w:hint="default"/>
      </w:rPr>
    </w:lvl>
    <w:lvl w:ilvl="3">
      <w:start w:val="1"/>
      <w:numFmt w:val="decimal"/>
      <w:lvlText w:val="%1.%2.%3.%4."/>
      <w:lvlJc w:val="left"/>
      <w:pPr>
        <w:ind w:left="1548" w:hanging="357"/>
      </w:pPr>
      <w:rPr>
        <w:rFonts w:hint="default"/>
      </w:rPr>
    </w:lvl>
    <w:lvl w:ilvl="4">
      <w:start w:val="1"/>
      <w:numFmt w:val="decimal"/>
      <w:lvlText w:val="%1.%2.%3.%4.%5."/>
      <w:lvlJc w:val="left"/>
      <w:pPr>
        <w:ind w:left="1945" w:hanging="357"/>
      </w:pPr>
      <w:rPr>
        <w:rFonts w:hint="default"/>
      </w:rPr>
    </w:lvl>
    <w:lvl w:ilvl="5">
      <w:start w:val="1"/>
      <w:numFmt w:val="decimal"/>
      <w:lvlText w:val="%1.%2.%3.%4.%5.%6."/>
      <w:lvlJc w:val="left"/>
      <w:pPr>
        <w:ind w:left="2342" w:hanging="357"/>
      </w:pPr>
      <w:rPr>
        <w:rFonts w:hint="default"/>
      </w:rPr>
    </w:lvl>
    <w:lvl w:ilvl="6">
      <w:start w:val="1"/>
      <w:numFmt w:val="decimal"/>
      <w:lvlText w:val="%1.%2.%3.%4.%5.%6.%7."/>
      <w:lvlJc w:val="left"/>
      <w:pPr>
        <w:ind w:left="2739" w:hanging="357"/>
      </w:pPr>
      <w:rPr>
        <w:rFonts w:hint="default"/>
      </w:rPr>
    </w:lvl>
    <w:lvl w:ilvl="7">
      <w:start w:val="1"/>
      <w:numFmt w:val="decimal"/>
      <w:lvlText w:val="%1.%2.%3.%4.%5.%6.%7.%8."/>
      <w:lvlJc w:val="left"/>
      <w:pPr>
        <w:ind w:left="3136" w:hanging="357"/>
      </w:pPr>
      <w:rPr>
        <w:rFonts w:hint="default"/>
      </w:rPr>
    </w:lvl>
    <w:lvl w:ilvl="8">
      <w:start w:val="1"/>
      <w:numFmt w:val="decimal"/>
      <w:lvlText w:val="%1.%2.%3.%4.%5.%6.%7.%8.%9."/>
      <w:lvlJc w:val="left"/>
      <w:pPr>
        <w:ind w:left="3533" w:hanging="357"/>
      </w:pPr>
      <w:rPr>
        <w:rFonts w:hint="default"/>
      </w:rPr>
    </w:lvl>
  </w:abstractNum>
  <w:abstractNum w:abstractNumId="6" w15:restartNumberingAfterBreak="0">
    <w:nsid w:val="1B802385"/>
    <w:multiLevelType w:val="hybridMultilevel"/>
    <w:tmpl w:val="E5663702"/>
    <w:lvl w:ilvl="0" w:tplc="5C6C0B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9401DC"/>
    <w:multiLevelType w:val="hybridMultilevel"/>
    <w:tmpl w:val="2AE606F8"/>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8" w15:restartNumberingAfterBreak="0">
    <w:nsid w:val="270818BF"/>
    <w:multiLevelType w:val="hybridMultilevel"/>
    <w:tmpl w:val="C63A37D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AF7AA4"/>
    <w:multiLevelType w:val="hybridMultilevel"/>
    <w:tmpl w:val="90E64AA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09B605A"/>
    <w:multiLevelType w:val="hybridMultilevel"/>
    <w:tmpl w:val="10CEFF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9433B7"/>
    <w:multiLevelType w:val="multilevel"/>
    <w:tmpl w:val="4E6CE2B4"/>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7507E5E"/>
    <w:multiLevelType w:val="hybridMultilevel"/>
    <w:tmpl w:val="487E6B5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3" w15:restartNumberingAfterBreak="0">
    <w:nsid w:val="4D7F5300"/>
    <w:multiLevelType w:val="hybridMultilevel"/>
    <w:tmpl w:val="DA0811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7F1713"/>
    <w:multiLevelType w:val="hybridMultilevel"/>
    <w:tmpl w:val="BB9C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7B3F77"/>
    <w:multiLevelType w:val="hybridMultilevel"/>
    <w:tmpl w:val="0D1080B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59A016F3"/>
    <w:multiLevelType w:val="hybridMultilevel"/>
    <w:tmpl w:val="26D2AEB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7" w15:restartNumberingAfterBreak="0">
    <w:nsid w:val="59A5464E"/>
    <w:multiLevelType w:val="hybridMultilevel"/>
    <w:tmpl w:val="B0C64194"/>
    <w:lvl w:ilvl="0" w:tplc="0C0A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A7D28A1"/>
    <w:multiLevelType w:val="hybridMultilevel"/>
    <w:tmpl w:val="DBD88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E22836"/>
    <w:multiLevelType w:val="hybridMultilevel"/>
    <w:tmpl w:val="AB14C77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0" w15:restartNumberingAfterBreak="0">
    <w:nsid w:val="61CD4BC6"/>
    <w:multiLevelType w:val="hybridMultilevel"/>
    <w:tmpl w:val="761A25E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1" w15:restartNumberingAfterBreak="0">
    <w:nsid w:val="64BB3988"/>
    <w:multiLevelType w:val="multilevel"/>
    <w:tmpl w:val="6B9CB3AA"/>
    <w:lvl w:ilvl="0">
      <w:start w:val="1"/>
      <w:numFmt w:val="decimal"/>
      <w:lvlText w:val="22.%1"/>
      <w:lvlJc w:val="left"/>
      <w:pPr>
        <w:ind w:left="0" w:firstLine="0"/>
      </w:pPr>
      <w:rPr>
        <w:rFonts w:hint="default"/>
      </w:rPr>
    </w:lvl>
    <w:lvl w:ilvl="1">
      <w:start w:val="1"/>
      <w:numFmt w:val="decimal"/>
      <w:lvlText w:val="7.%2."/>
      <w:lvlJc w:val="left"/>
      <w:pPr>
        <w:ind w:left="357" w:firstLine="0"/>
      </w:pPr>
      <w:rPr>
        <w:rFonts w:hint="default"/>
      </w:rPr>
    </w:lvl>
    <w:lvl w:ilvl="2">
      <w:start w:val="1"/>
      <w:numFmt w:val="decimal"/>
      <w:lvlText w:val="%1.%2.%3."/>
      <w:lvlJc w:val="left"/>
      <w:pPr>
        <w:ind w:left="714" w:firstLine="0"/>
      </w:pPr>
      <w:rPr>
        <w:rFonts w:hint="default"/>
      </w:rPr>
    </w:lvl>
    <w:lvl w:ilvl="3">
      <w:start w:val="1"/>
      <w:numFmt w:val="decimal"/>
      <w:lvlText w:val="%1.%2.%3.%4."/>
      <w:lvlJc w:val="left"/>
      <w:pPr>
        <w:ind w:left="1071" w:firstLine="0"/>
      </w:pPr>
      <w:rPr>
        <w:rFonts w:hint="default"/>
      </w:rPr>
    </w:lvl>
    <w:lvl w:ilvl="4">
      <w:start w:val="1"/>
      <w:numFmt w:val="decimal"/>
      <w:lvlText w:val="%1.%2.%3.%4.%5."/>
      <w:lvlJc w:val="left"/>
      <w:pPr>
        <w:ind w:left="1428" w:firstLine="0"/>
      </w:pPr>
      <w:rPr>
        <w:rFonts w:hint="default"/>
      </w:rPr>
    </w:lvl>
    <w:lvl w:ilvl="5">
      <w:start w:val="1"/>
      <w:numFmt w:val="decimal"/>
      <w:lvlText w:val="%1.%2.%3.%4.%5.%6."/>
      <w:lvlJc w:val="left"/>
      <w:pPr>
        <w:ind w:left="1785" w:firstLine="0"/>
      </w:pPr>
      <w:rPr>
        <w:rFonts w:hint="default"/>
      </w:rPr>
    </w:lvl>
    <w:lvl w:ilvl="6">
      <w:start w:val="1"/>
      <w:numFmt w:val="decimal"/>
      <w:lvlText w:val="%1.%2.%3.%4.%5.%6.%7."/>
      <w:lvlJc w:val="left"/>
      <w:pPr>
        <w:ind w:left="2142" w:firstLine="0"/>
      </w:pPr>
      <w:rPr>
        <w:rFonts w:hint="default"/>
      </w:rPr>
    </w:lvl>
    <w:lvl w:ilvl="7">
      <w:start w:val="1"/>
      <w:numFmt w:val="decimal"/>
      <w:lvlText w:val="%1.%2.%3.%4.%5.%6.%7.%8."/>
      <w:lvlJc w:val="left"/>
      <w:pPr>
        <w:ind w:left="2499" w:firstLine="0"/>
      </w:pPr>
      <w:rPr>
        <w:rFonts w:hint="default"/>
      </w:rPr>
    </w:lvl>
    <w:lvl w:ilvl="8">
      <w:start w:val="1"/>
      <w:numFmt w:val="decimal"/>
      <w:lvlText w:val="%1.%2.%3.%4.%5.%6.%7.%8.%9."/>
      <w:lvlJc w:val="left"/>
      <w:pPr>
        <w:ind w:left="2856" w:firstLine="0"/>
      </w:pPr>
      <w:rPr>
        <w:rFonts w:hint="default"/>
      </w:rPr>
    </w:lvl>
  </w:abstractNum>
  <w:abstractNum w:abstractNumId="22" w15:restartNumberingAfterBreak="0">
    <w:nsid w:val="6A046602"/>
    <w:multiLevelType w:val="hybridMultilevel"/>
    <w:tmpl w:val="67046168"/>
    <w:lvl w:ilvl="0" w:tplc="0C0A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2FC7E4F"/>
    <w:multiLevelType w:val="hybridMultilevel"/>
    <w:tmpl w:val="06CAB4E8"/>
    <w:lvl w:ilvl="0" w:tplc="06B23794">
      <w:start w:val="1"/>
      <w:numFmt w:val="bullet"/>
      <w:suff w:val="space"/>
      <w:lvlText w:val=""/>
      <w:lvlJc w:val="left"/>
      <w:pPr>
        <w:ind w:left="0" w:firstLine="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749D6BED"/>
    <w:multiLevelType w:val="hybridMultilevel"/>
    <w:tmpl w:val="F732FA1A"/>
    <w:lvl w:ilvl="0" w:tplc="AC3E52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F636B9"/>
    <w:multiLevelType w:val="multilevel"/>
    <w:tmpl w:val="3FFCF246"/>
    <w:lvl w:ilvl="0">
      <w:start w:val="1"/>
      <w:numFmt w:val="decimal"/>
      <w:lvlText w:val="8.%1"/>
      <w:lvlJc w:val="left"/>
      <w:pPr>
        <w:ind w:left="360" w:hanging="360"/>
      </w:pPr>
      <w:rPr>
        <w:rFonts w:hint="default"/>
        <w:b/>
        <w:bCs/>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D021C28"/>
    <w:multiLevelType w:val="hybridMultilevel"/>
    <w:tmpl w:val="C39CA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D2B2099"/>
    <w:multiLevelType w:val="hybridMultilevel"/>
    <w:tmpl w:val="8828C62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0"/>
  </w:num>
  <w:num w:numId="4">
    <w:abstractNumId w:val="13"/>
  </w:num>
  <w:num w:numId="5">
    <w:abstractNumId w:val="11"/>
  </w:num>
  <w:num w:numId="6">
    <w:abstractNumId w:val="6"/>
  </w:num>
  <w:num w:numId="7">
    <w:abstractNumId w:val="24"/>
  </w:num>
  <w:num w:numId="8">
    <w:abstractNumId w:val="8"/>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3"/>
  </w:num>
  <w:num w:numId="14">
    <w:abstractNumId w:val="14"/>
  </w:num>
  <w:num w:numId="15">
    <w:abstractNumId w:val="12"/>
  </w:num>
  <w:num w:numId="16">
    <w:abstractNumId w:val="26"/>
  </w:num>
  <w:num w:numId="17">
    <w:abstractNumId w:val="19"/>
  </w:num>
  <w:num w:numId="18">
    <w:abstractNumId w:val="7"/>
  </w:num>
  <w:num w:numId="19">
    <w:abstractNumId w:val="27"/>
  </w:num>
  <w:num w:numId="20">
    <w:abstractNumId w:val="0"/>
  </w:num>
  <w:num w:numId="21">
    <w:abstractNumId w:val="20"/>
  </w:num>
  <w:num w:numId="22">
    <w:abstractNumId w:val="16"/>
  </w:num>
  <w:num w:numId="23">
    <w:abstractNumId w:val="23"/>
  </w:num>
  <w:num w:numId="24">
    <w:abstractNumId w:val="25"/>
  </w:num>
  <w:num w:numId="25">
    <w:abstractNumId w:val="21"/>
  </w:num>
  <w:num w:numId="26">
    <w:abstractNumId w:val="5"/>
  </w:num>
  <w:num w:numId="27">
    <w:abstractNumId w:val="2"/>
  </w:num>
  <w:num w:numId="28">
    <w:abstractNumId w:val="1"/>
  </w:num>
  <w:num w:numId="29">
    <w:abstractNumId w:val="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7BE"/>
    <w:rsid w:val="0000189D"/>
    <w:rsid w:val="000139A9"/>
    <w:rsid w:val="00037AAA"/>
    <w:rsid w:val="00040775"/>
    <w:rsid w:val="000457DF"/>
    <w:rsid w:val="0005281C"/>
    <w:rsid w:val="00056584"/>
    <w:rsid w:val="00057580"/>
    <w:rsid w:val="000649BA"/>
    <w:rsid w:val="00080BE8"/>
    <w:rsid w:val="00081E35"/>
    <w:rsid w:val="00091928"/>
    <w:rsid w:val="00092CDA"/>
    <w:rsid w:val="000A5EAB"/>
    <w:rsid w:val="000B2D95"/>
    <w:rsid w:val="0010496A"/>
    <w:rsid w:val="001157F0"/>
    <w:rsid w:val="00135C1E"/>
    <w:rsid w:val="00136C4E"/>
    <w:rsid w:val="0015352A"/>
    <w:rsid w:val="0016164B"/>
    <w:rsid w:val="00161F1D"/>
    <w:rsid w:val="001637C6"/>
    <w:rsid w:val="0017298A"/>
    <w:rsid w:val="00182CE2"/>
    <w:rsid w:val="001850B1"/>
    <w:rsid w:val="00191E14"/>
    <w:rsid w:val="00196E92"/>
    <w:rsid w:val="001B6820"/>
    <w:rsid w:val="001C6A98"/>
    <w:rsid w:val="001D698D"/>
    <w:rsid w:val="001E6FFA"/>
    <w:rsid w:val="001F2B83"/>
    <w:rsid w:val="001F49FD"/>
    <w:rsid w:val="002060AF"/>
    <w:rsid w:val="002069C4"/>
    <w:rsid w:val="00217A80"/>
    <w:rsid w:val="00222C4F"/>
    <w:rsid w:val="00224F30"/>
    <w:rsid w:val="002375C4"/>
    <w:rsid w:val="0024424C"/>
    <w:rsid w:val="00246714"/>
    <w:rsid w:val="0027795F"/>
    <w:rsid w:val="00290AC5"/>
    <w:rsid w:val="002A6B72"/>
    <w:rsid w:val="002B46E5"/>
    <w:rsid w:val="002C0B7C"/>
    <w:rsid w:val="002C44AA"/>
    <w:rsid w:val="002C66EC"/>
    <w:rsid w:val="002D08F0"/>
    <w:rsid w:val="002D15A0"/>
    <w:rsid w:val="002E051E"/>
    <w:rsid w:val="002F2649"/>
    <w:rsid w:val="002F5295"/>
    <w:rsid w:val="002F7B84"/>
    <w:rsid w:val="00313274"/>
    <w:rsid w:val="00327743"/>
    <w:rsid w:val="00342C31"/>
    <w:rsid w:val="00345DAA"/>
    <w:rsid w:val="003465CF"/>
    <w:rsid w:val="003520BA"/>
    <w:rsid w:val="00360B07"/>
    <w:rsid w:val="0036777C"/>
    <w:rsid w:val="003709BA"/>
    <w:rsid w:val="00371DE1"/>
    <w:rsid w:val="00381867"/>
    <w:rsid w:val="003867C7"/>
    <w:rsid w:val="00390BED"/>
    <w:rsid w:val="003A2303"/>
    <w:rsid w:val="003A7B21"/>
    <w:rsid w:val="003B148C"/>
    <w:rsid w:val="003B18C6"/>
    <w:rsid w:val="003B627D"/>
    <w:rsid w:val="003C1AC4"/>
    <w:rsid w:val="003C5254"/>
    <w:rsid w:val="003D66CF"/>
    <w:rsid w:val="004119BB"/>
    <w:rsid w:val="00414037"/>
    <w:rsid w:val="004151D7"/>
    <w:rsid w:val="004201B0"/>
    <w:rsid w:val="004308B4"/>
    <w:rsid w:val="00441CC1"/>
    <w:rsid w:val="00447579"/>
    <w:rsid w:val="00447FD8"/>
    <w:rsid w:val="00453113"/>
    <w:rsid w:val="00467C72"/>
    <w:rsid w:val="004700A0"/>
    <w:rsid w:val="004722B5"/>
    <w:rsid w:val="004802F2"/>
    <w:rsid w:val="00481EA0"/>
    <w:rsid w:val="00485D4E"/>
    <w:rsid w:val="00485F22"/>
    <w:rsid w:val="004A02F1"/>
    <w:rsid w:val="004B00C0"/>
    <w:rsid w:val="004B4266"/>
    <w:rsid w:val="004B4723"/>
    <w:rsid w:val="004B700E"/>
    <w:rsid w:val="004C6C4D"/>
    <w:rsid w:val="004C7C78"/>
    <w:rsid w:val="004E24CC"/>
    <w:rsid w:val="004F157F"/>
    <w:rsid w:val="004F1D3D"/>
    <w:rsid w:val="004F2BF3"/>
    <w:rsid w:val="005078D5"/>
    <w:rsid w:val="00512D6C"/>
    <w:rsid w:val="005324CF"/>
    <w:rsid w:val="005445B1"/>
    <w:rsid w:val="0055165A"/>
    <w:rsid w:val="00553F0F"/>
    <w:rsid w:val="00561758"/>
    <w:rsid w:val="00563F67"/>
    <w:rsid w:val="00582FDA"/>
    <w:rsid w:val="00591399"/>
    <w:rsid w:val="005923F4"/>
    <w:rsid w:val="005A46F0"/>
    <w:rsid w:val="005A6B7E"/>
    <w:rsid w:val="005F1A62"/>
    <w:rsid w:val="00604527"/>
    <w:rsid w:val="00623ABD"/>
    <w:rsid w:val="006301FE"/>
    <w:rsid w:val="0064350A"/>
    <w:rsid w:val="0066187D"/>
    <w:rsid w:val="00666EA4"/>
    <w:rsid w:val="00671C1D"/>
    <w:rsid w:val="006975F4"/>
    <w:rsid w:val="006B35FB"/>
    <w:rsid w:val="006C1E44"/>
    <w:rsid w:val="006D2801"/>
    <w:rsid w:val="006E5C8C"/>
    <w:rsid w:val="006F7BFB"/>
    <w:rsid w:val="006F7DC0"/>
    <w:rsid w:val="00700EB3"/>
    <w:rsid w:val="00704171"/>
    <w:rsid w:val="00712E1B"/>
    <w:rsid w:val="0073655A"/>
    <w:rsid w:val="00746733"/>
    <w:rsid w:val="00753A5B"/>
    <w:rsid w:val="007555A8"/>
    <w:rsid w:val="00755785"/>
    <w:rsid w:val="00760835"/>
    <w:rsid w:val="00762B05"/>
    <w:rsid w:val="00765816"/>
    <w:rsid w:val="00771CF2"/>
    <w:rsid w:val="00771D3F"/>
    <w:rsid w:val="00783318"/>
    <w:rsid w:val="00790F3D"/>
    <w:rsid w:val="00797CAF"/>
    <w:rsid w:val="007A2603"/>
    <w:rsid w:val="007A4F28"/>
    <w:rsid w:val="007E035D"/>
    <w:rsid w:val="007E5C22"/>
    <w:rsid w:val="007E67B4"/>
    <w:rsid w:val="007F3E4E"/>
    <w:rsid w:val="00811EB2"/>
    <w:rsid w:val="00833675"/>
    <w:rsid w:val="00843746"/>
    <w:rsid w:val="008473D2"/>
    <w:rsid w:val="00855461"/>
    <w:rsid w:val="008571A0"/>
    <w:rsid w:val="008652C3"/>
    <w:rsid w:val="00887FE5"/>
    <w:rsid w:val="00895681"/>
    <w:rsid w:val="008A15EE"/>
    <w:rsid w:val="008A3BFE"/>
    <w:rsid w:val="008B5DAA"/>
    <w:rsid w:val="008C2233"/>
    <w:rsid w:val="008D4FCB"/>
    <w:rsid w:val="008E6F43"/>
    <w:rsid w:val="00922773"/>
    <w:rsid w:val="00936C32"/>
    <w:rsid w:val="00937AFA"/>
    <w:rsid w:val="009517DA"/>
    <w:rsid w:val="0096457D"/>
    <w:rsid w:val="00975E51"/>
    <w:rsid w:val="00983D1F"/>
    <w:rsid w:val="00987A0D"/>
    <w:rsid w:val="00987E1B"/>
    <w:rsid w:val="009C461C"/>
    <w:rsid w:val="009D4848"/>
    <w:rsid w:val="009D77C2"/>
    <w:rsid w:val="009E56C3"/>
    <w:rsid w:val="009F4E47"/>
    <w:rsid w:val="009F7789"/>
    <w:rsid w:val="00A05AA9"/>
    <w:rsid w:val="00A07CE3"/>
    <w:rsid w:val="00A33D67"/>
    <w:rsid w:val="00A34B39"/>
    <w:rsid w:val="00A36ED9"/>
    <w:rsid w:val="00A60EFF"/>
    <w:rsid w:val="00A67493"/>
    <w:rsid w:val="00A74B82"/>
    <w:rsid w:val="00A82EDD"/>
    <w:rsid w:val="00A87E40"/>
    <w:rsid w:val="00AA4C3F"/>
    <w:rsid w:val="00AA5E6C"/>
    <w:rsid w:val="00AB1ED8"/>
    <w:rsid w:val="00AB3AEE"/>
    <w:rsid w:val="00AC2614"/>
    <w:rsid w:val="00AC2847"/>
    <w:rsid w:val="00AC29E0"/>
    <w:rsid w:val="00AD5EB6"/>
    <w:rsid w:val="00AE23C1"/>
    <w:rsid w:val="00AE4CA2"/>
    <w:rsid w:val="00AF39F0"/>
    <w:rsid w:val="00AF777B"/>
    <w:rsid w:val="00B17685"/>
    <w:rsid w:val="00B36509"/>
    <w:rsid w:val="00B52163"/>
    <w:rsid w:val="00B52FFD"/>
    <w:rsid w:val="00B645A0"/>
    <w:rsid w:val="00B70931"/>
    <w:rsid w:val="00B72FA2"/>
    <w:rsid w:val="00B8067B"/>
    <w:rsid w:val="00B81841"/>
    <w:rsid w:val="00B9361E"/>
    <w:rsid w:val="00BA183F"/>
    <w:rsid w:val="00BA5E08"/>
    <w:rsid w:val="00BB7F8A"/>
    <w:rsid w:val="00BC09F6"/>
    <w:rsid w:val="00BD6AC1"/>
    <w:rsid w:val="00BF1485"/>
    <w:rsid w:val="00BF17A8"/>
    <w:rsid w:val="00BF4761"/>
    <w:rsid w:val="00C119F6"/>
    <w:rsid w:val="00C23E2E"/>
    <w:rsid w:val="00C348AC"/>
    <w:rsid w:val="00C37DFB"/>
    <w:rsid w:val="00C5692F"/>
    <w:rsid w:val="00C57EE4"/>
    <w:rsid w:val="00C6797D"/>
    <w:rsid w:val="00C83B86"/>
    <w:rsid w:val="00C95DA0"/>
    <w:rsid w:val="00C97E87"/>
    <w:rsid w:val="00CA0AFB"/>
    <w:rsid w:val="00CB418A"/>
    <w:rsid w:val="00CB5992"/>
    <w:rsid w:val="00CC3108"/>
    <w:rsid w:val="00CC579B"/>
    <w:rsid w:val="00CD4E3C"/>
    <w:rsid w:val="00CD521F"/>
    <w:rsid w:val="00CE0264"/>
    <w:rsid w:val="00CE51DD"/>
    <w:rsid w:val="00CF3B5F"/>
    <w:rsid w:val="00D00988"/>
    <w:rsid w:val="00D03E90"/>
    <w:rsid w:val="00D20927"/>
    <w:rsid w:val="00D22DDD"/>
    <w:rsid w:val="00D344F2"/>
    <w:rsid w:val="00D778A3"/>
    <w:rsid w:val="00D86A29"/>
    <w:rsid w:val="00D87D88"/>
    <w:rsid w:val="00DA03E0"/>
    <w:rsid w:val="00DA0712"/>
    <w:rsid w:val="00DA1EB3"/>
    <w:rsid w:val="00DB4944"/>
    <w:rsid w:val="00DD66F5"/>
    <w:rsid w:val="00DE10B9"/>
    <w:rsid w:val="00DE3774"/>
    <w:rsid w:val="00DE4759"/>
    <w:rsid w:val="00DE746D"/>
    <w:rsid w:val="00DF2372"/>
    <w:rsid w:val="00DF7486"/>
    <w:rsid w:val="00E0698E"/>
    <w:rsid w:val="00E069BE"/>
    <w:rsid w:val="00E077BE"/>
    <w:rsid w:val="00E167F2"/>
    <w:rsid w:val="00E2508F"/>
    <w:rsid w:val="00E4007B"/>
    <w:rsid w:val="00E411F0"/>
    <w:rsid w:val="00E64953"/>
    <w:rsid w:val="00E767CF"/>
    <w:rsid w:val="00E8543E"/>
    <w:rsid w:val="00E96D35"/>
    <w:rsid w:val="00EC037E"/>
    <w:rsid w:val="00ED71A5"/>
    <w:rsid w:val="00EE4C59"/>
    <w:rsid w:val="00EE5D6F"/>
    <w:rsid w:val="00EE6F99"/>
    <w:rsid w:val="00EE7D06"/>
    <w:rsid w:val="00F000FB"/>
    <w:rsid w:val="00F0440C"/>
    <w:rsid w:val="00F1296F"/>
    <w:rsid w:val="00F14A78"/>
    <w:rsid w:val="00F15DC0"/>
    <w:rsid w:val="00F2166E"/>
    <w:rsid w:val="00F271CB"/>
    <w:rsid w:val="00F31841"/>
    <w:rsid w:val="00F379C9"/>
    <w:rsid w:val="00F45F4F"/>
    <w:rsid w:val="00F50817"/>
    <w:rsid w:val="00F5143F"/>
    <w:rsid w:val="00F53885"/>
    <w:rsid w:val="00F717FC"/>
    <w:rsid w:val="00F72EBD"/>
    <w:rsid w:val="00FA688B"/>
    <w:rsid w:val="00FB02BC"/>
    <w:rsid w:val="00FB6975"/>
    <w:rsid w:val="00FC37E3"/>
    <w:rsid w:val="00FF7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34FC"/>
  <w15:chartTrackingRefBased/>
  <w15:docId w15:val="{1F8D64DF-BD32-4823-8DF8-85360B65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E"/>
    <w:rPr>
      <w:rFonts w:eastAsiaTheme="minorEastAsia"/>
      <w:lang w:val="es-CR"/>
    </w:rPr>
  </w:style>
  <w:style w:type="paragraph" w:styleId="Ttulo1">
    <w:name w:val="heading 1"/>
    <w:basedOn w:val="Normal"/>
    <w:next w:val="Normal"/>
    <w:link w:val="Ttulo1Car"/>
    <w:uiPriority w:val="9"/>
    <w:qFormat/>
    <w:rsid w:val="00753A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53A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345D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77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7BE"/>
    <w:rPr>
      <w:rFonts w:ascii="Segoe UI" w:hAnsi="Segoe UI" w:cs="Segoe UI"/>
      <w:sz w:val="18"/>
      <w:szCs w:val="18"/>
      <w:lang w:val="es-CR"/>
    </w:rPr>
  </w:style>
  <w:style w:type="paragraph" w:styleId="Prrafodelista">
    <w:name w:val="List Paragraph"/>
    <w:basedOn w:val="Normal"/>
    <w:uiPriority w:val="34"/>
    <w:qFormat/>
    <w:rsid w:val="00E077BE"/>
    <w:pPr>
      <w:ind w:left="720"/>
      <w:contextualSpacing/>
    </w:pPr>
  </w:style>
  <w:style w:type="table" w:styleId="Tablaconcuadrcula5oscura-nfasis1">
    <w:name w:val="Grid Table 5 Dark Accent 1"/>
    <w:basedOn w:val="Tablanormal"/>
    <w:uiPriority w:val="50"/>
    <w:rsid w:val="00E077BE"/>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concuadrcula">
    <w:name w:val="Table Grid"/>
    <w:basedOn w:val="Tablanormal"/>
    <w:uiPriority w:val="39"/>
    <w:rsid w:val="005A6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F31841"/>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F31841"/>
    <w:rPr>
      <w:rFonts w:eastAsiaTheme="minorEastAsia"/>
    </w:rPr>
  </w:style>
  <w:style w:type="character" w:styleId="Hipervnculo">
    <w:name w:val="Hyperlink"/>
    <w:basedOn w:val="Fuentedeprrafopredeter"/>
    <w:uiPriority w:val="99"/>
    <w:unhideWhenUsed/>
    <w:rsid w:val="0000189D"/>
    <w:rPr>
      <w:color w:val="0000FF"/>
      <w:u w:val="single"/>
    </w:rPr>
  </w:style>
  <w:style w:type="paragraph" w:styleId="Encabezado">
    <w:name w:val="header"/>
    <w:basedOn w:val="Normal"/>
    <w:link w:val="EncabezadoCar"/>
    <w:uiPriority w:val="99"/>
    <w:unhideWhenUsed/>
    <w:rsid w:val="000018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189D"/>
    <w:rPr>
      <w:rFonts w:eastAsiaTheme="minorEastAsia"/>
      <w:lang w:val="es-CR"/>
    </w:rPr>
  </w:style>
  <w:style w:type="paragraph" w:styleId="Piedepgina">
    <w:name w:val="footer"/>
    <w:basedOn w:val="Normal"/>
    <w:link w:val="PiedepginaCar"/>
    <w:uiPriority w:val="99"/>
    <w:unhideWhenUsed/>
    <w:rsid w:val="0000189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189D"/>
    <w:rPr>
      <w:rFonts w:eastAsiaTheme="minorEastAsia"/>
      <w:lang w:val="es-CR"/>
    </w:rPr>
  </w:style>
  <w:style w:type="paragraph" w:styleId="Textocomentario">
    <w:name w:val="annotation text"/>
    <w:basedOn w:val="Normal"/>
    <w:link w:val="TextocomentarioCar"/>
    <w:uiPriority w:val="99"/>
    <w:semiHidden/>
    <w:unhideWhenUsed/>
    <w:rsid w:val="00196E9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96E92"/>
    <w:rPr>
      <w:rFonts w:eastAsiaTheme="minorEastAsia"/>
      <w:sz w:val="20"/>
      <w:szCs w:val="20"/>
      <w:lang w:val="es-CR"/>
    </w:rPr>
  </w:style>
  <w:style w:type="character" w:styleId="Refdecomentario">
    <w:name w:val="annotation reference"/>
    <w:basedOn w:val="Fuentedeprrafopredeter"/>
    <w:uiPriority w:val="99"/>
    <w:semiHidden/>
    <w:unhideWhenUsed/>
    <w:rsid w:val="00196E92"/>
    <w:rPr>
      <w:sz w:val="16"/>
      <w:szCs w:val="16"/>
    </w:rPr>
  </w:style>
  <w:style w:type="character" w:styleId="Hipervnculovisitado">
    <w:name w:val="FollowedHyperlink"/>
    <w:basedOn w:val="Fuentedeprrafopredeter"/>
    <w:uiPriority w:val="99"/>
    <w:semiHidden/>
    <w:unhideWhenUsed/>
    <w:rsid w:val="009F4E47"/>
    <w:rPr>
      <w:color w:val="954F72"/>
      <w:u w:val="single"/>
    </w:rPr>
  </w:style>
  <w:style w:type="paragraph" w:customStyle="1" w:styleId="msonormal0">
    <w:name w:val="msonormal"/>
    <w:basedOn w:val="Normal"/>
    <w:rsid w:val="009F4E4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5">
    <w:name w:val="xl65"/>
    <w:basedOn w:val="Normal"/>
    <w:rsid w:val="009F4E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66">
    <w:name w:val="xl66"/>
    <w:basedOn w:val="Normal"/>
    <w:rsid w:val="009F4E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67">
    <w:name w:val="xl67"/>
    <w:basedOn w:val="Normal"/>
    <w:rsid w:val="009F4E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68">
    <w:name w:val="xl68"/>
    <w:basedOn w:val="Normal"/>
    <w:rsid w:val="009F4E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69">
    <w:name w:val="xl69"/>
    <w:basedOn w:val="Normal"/>
    <w:rsid w:val="009F4E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70">
    <w:name w:val="xl70"/>
    <w:basedOn w:val="Normal"/>
    <w:rsid w:val="009F4E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71">
    <w:name w:val="xl71"/>
    <w:basedOn w:val="Normal"/>
    <w:rsid w:val="009F4E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styleId="Asuntodelcomentario">
    <w:name w:val="annotation subject"/>
    <w:basedOn w:val="Textocomentario"/>
    <w:next w:val="Textocomentario"/>
    <w:link w:val="AsuntodelcomentarioCar"/>
    <w:uiPriority w:val="99"/>
    <w:semiHidden/>
    <w:unhideWhenUsed/>
    <w:rsid w:val="008C2233"/>
    <w:rPr>
      <w:b/>
      <w:bCs/>
    </w:rPr>
  </w:style>
  <w:style w:type="character" w:customStyle="1" w:styleId="AsuntodelcomentarioCar">
    <w:name w:val="Asunto del comentario Car"/>
    <w:basedOn w:val="TextocomentarioCar"/>
    <w:link w:val="Asuntodelcomentario"/>
    <w:uiPriority w:val="99"/>
    <w:semiHidden/>
    <w:rsid w:val="008C2233"/>
    <w:rPr>
      <w:rFonts w:eastAsiaTheme="minorEastAsia"/>
      <w:b/>
      <w:bCs/>
      <w:sz w:val="20"/>
      <w:szCs w:val="20"/>
      <w:lang w:val="es-CR"/>
    </w:rPr>
  </w:style>
  <w:style w:type="character" w:customStyle="1" w:styleId="Ttulo1Car">
    <w:name w:val="Título 1 Car"/>
    <w:basedOn w:val="Fuentedeprrafopredeter"/>
    <w:link w:val="Ttulo1"/>
    <w:uiPriority w:val="9"/>
    <w:rsid w:val="00753A5B"/>
    <w:rPr>
      <w:rFonts w:asciiTheme="majorHAnsi" w:eastAsiaTheme="majorEastAsia" w:hAnsiTheme="majorHAnsi" w:cstheme="majorBidi"/>
      <w:color w:val="2F5496" w:themeColor="accent1" w:themeShade="BF"/>
      <w:sz w:val="32"/>
      <w:szCs w:val="32"/>
      <w:lang w:val="es-CR"/>
    </w:rPr>
  </w:style>
  <w:style w:type="character" w:customStyle="1" w:styleId="Ttulo2Car">
    <w:name w:val="Título 2 Car"/>
    <w:basedOn w:val="Fuentedeprrafopredeter"/>
    <w:link w:val="Ttulo2"/>
    <w:uiPriority w:val="9"/>
    <w:rsid w:val="00753A5B"/>
    <w:rPr>
      <w:rFonts w:asciiTheme="majorHAnsi" w:eastAsiaTheme="majorEastAsia" w:hAnsiTheme="majorHAnsi" w:cstheme="majorBidi"/>
      <w:color w:val="2F5496" w:themeColor="accent1" w:themeShade="BF"/>
      <w:sz w:val="26"/>
      <w:szCs w:val="26"/>
      <w:lang w:val="es-CR"/>
    </w:rPr>
  </w:style>
  <w:style w:type="character" w:customStyle="1" w:styleId="Ttulo3Car">
    <w:name w:val="Título 3 Car"/>
    <w:basedOn w:val="Fuentedeprrafopredeter"/>
    <w:link w:val="Ttulo3"/>
    <w:uiPriority w:val="9"/>
    <w:rsid w:val="00345DAA"/>
    <w:rPr>
      <w:rFonts w:asciiTheme="majorHAnsi" w:eastAsiaTheme="majorEastAsia" w:hAnsiTheme="majorHAnsi" w:cstheme="majorBidi"/>
      <w:color w:val="1F3763" w:themeColor="accent1" w:themeShade="7F"/>
      <w:sz w:val="24"/>
      <w:szCs w:val="24"/>
      <w:lang w:val="es-CR"/>
    </w:rPr>
  </w:style>
  <w:style w:type="paragraph" w:styleId="TtuloTDC">
    <w:name w:val="TOC Heading"/>
    <w:basedOn w:val="Ttulo1"/>
    <w:next w:val="Normal"/>
    <w:uiPriority w:val="39"/>
    <w:unhideWhenUsed/>
    <w:qFormat/>
    <w:rsid w:val="00191E14"/>
    <w:pPr>
      <w:outlineLvl w:val="9"/>
    </w:pPr>
    <w:rPr>
      <w:lang w:eastAsia="zh-CN"/>
    </w:rPr>
  </w:style>
  <w:style w:type="paragraph" w:styleId="TDC1">
    <w:name w:val="toc 1"/>
    <w:basedOn w:val="Normal"/>
    <w:next w:val="Normal"/>
    <w:autoRedefine/>
    <w:uiPriority w:val="39"/>
    <w:unhideWhenUsed/>
    <w:rsid w:val="00A74B82"/>
    <w:pPr>
      <w:tabs>
        <w:tab w:val="right" w:leader="dot" w:pos="8494"/>
      </w:tabs>
      <w:spacing w:after="100"/>
      <w:jc w:val="center"/>
    </w:pPr>
    <w:rPr>
      <w:rFonts w:ascii="IBM Plex Sans" w:hAnsi="IBM Plex Sans"/>
      <w:b/>
      <w:bCs/>
      <w:noProof/>
    </w:rPr>
  </w:style>
  <w:style w:type="paragraph" w:styleId="TDC2">
    <w:name w:val="toc 2"/>
    <w:basedOn w:val="Normal"/>
    <w:next w:val="Normal"/>
    <w:autoRedefine/>
    <w:uiPriority w:val="39"/>
    <w:unhideWhenUsed/>
    <w:rsid w:val="00191E14"/>
    <w:pPr>
      <w:spacing w:after="100"/>
      <w:ind w:left="220"/>
    </w:pPr>
  </w:style>
  <w:style w:type="paragraph" w:styleId="TDC3">
    <w:name w:val="toc 3"/>
    <w:basedOn w:val="Normal"/>
    <w:next w:val="Normal"/>
    <w:autoRedefine/>
    <w:uiPriority w:val="39"/>
    <w:unhideWhenUsed/>
    <w:rsid w:val="00191E1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3588">
      <w:bodyDiv w:val="1"/>
      <w:marLeft w:val="0"/>
      <w:marRight w:val="0"/>
      <w:marTop w:val="0"/>
      <w:marBottom w:val="0"/>
      <w:divBdr>
        <w:top w:val="none" w:sz="0" w:space="0" w:color="auto"/>
        <w:left w:val="none" w:sz="0" w:space="0" w:color="auto"/>
        <w:bottom w:val="none" w:sz="0" w:space="0" w:color="auto"/>
        <w:right w:val="none" w:sz="0" w:space="0" w:color="auto"/>
      </w:divBdr>
    </w:div>
    <w:div w:id="7031128">
      <w:bodyDiv w:val="1"/>
      <w:marLeft w:val="0"/>
      <w:marRight w:val="0"/>
      <w:marTop w:val="0"/>
      <w:marBottom w:val="0"/>
      <w:divBdr>
        <w:top w:val="none" w:sz="0" w:space="0" w:color="auto"/>
        <w:left w:val="none" w:sz="0" w:space="0" w:color="auto"/>
        <w:bottom w:val="none" w:sz="0" w:space="0" w:color="auto"/>
        <w:right w:val="none" w:sz="0" w:space="0" w:color="auto"/>
      </w:divBdr>
    </w:div>
    <w:div w:id="118108663">
      <w:bodyDiv w:val="1"/>
      <w:marLeft w:val="0"/>
      <w:marRight w:val="0"/>
      <w:marTop w:val="0"/>
      <w:marBottom w:val="0"/>
      <w:divBdr>
        <w:top w:val="none" w:sz="0" w:space="0" w:color="auto"/>
        <w:left w:val="none" w:sz="0" w:space="0" w:color="auto"/>
        <w:bottom w:val="none" w:sz="0" w:space="0" w:color="auto"/>
        <w:right w:val="none" w:sz="0" w:space="0" w:color="auto"/>
      </w:divBdr>
    </w:div>
    <w:div w:id="182791575">
      <w:bodyDiv w:val="1"/>
      <w:marLeft w:val="0"/>
      <w:marRight w:val="0"/>
      <w:marTop w:val="0"/>
      <w:marBottom w:val="0"/>
      <w:divBdr>
        <w:top w:val="none" w:sz="0" w:space="0" w:color="auto"/>
        <w:left w:val="none" w:sz="0" w:space="0" w:color="auto"/>
        <w:bottom w:val="none" w:sz="0" w:space="0" w:color="auto"/>
        <w:right w:val="none" w:sz="0" w:space="0" w:color="auto"/>
      </w:divBdr>
    </w:div>
    <w:div w:id="215430173">
      <w:bodyDiv w:val="1"/>
      <w:marLeft w:val="0"/>
      <w:marRight w:val="0"/>
      <w:marTop w:val="0"/>
      <w:marBottom w:val="0"/>
      <w:divBdr>
        <w:top w:val="none" w:sz="0" w:space="0" w:color="auto"/>
        <w:left w:val="none" w:sz="0" w:space="0" w:color="auto"/>
        <w:bottom w:val="none" w:sz="0" w:space="0" w:color="auto"/>
        <w:right w:val="none" w:sz="0" w:space="0" w:color="auto"/>
      </w:divBdr>
    </w:div>
    <w:div w:id="264266992">
      <w:bodyDiv w:val="1"/>
      <w:marLeft w:val="0"/>
      <w:marRight w:val="0"/>
      <w:marTop w:val="0"/>
      <w:marBottom w:val="0"/>
      <w:divBdr>
        <w:top w:val="none" w:sz="0" w:space="0" w:color="auto"/>
        <w:left w:val="none" w:sz="0" w:space="0" w:color="auto"/>
        <w:bottom w:val="none" w:sz="0" w:space="0" w:color="auto"/>
        <w:right w:val="none" w:sz="0" w:space="0" w:color="auto"/>
      </w:divBdr>
    </w:div>
    <w:div w:id="267009837">
      <w:bodyDiv w:val="1"/>
      <w:marLeft w:val="0"/>
      <w:marRight w:val="0"/>
      <w:marTop w:val="0"/>
      <w:marBottom w:val="0"/>
      <w:divBdr>
        <w:top w:val="none" w:sz="0" w:space="0" w:color="auto"/>
        <w:left w:val="none" w:sz="0" w:space="0" w:color="auto"/>
        <w:bottom w:val="none" w:sz="0" w:space="0" w:color="auto"/>
        <w:right w:val="none" w:sz="0" w:space="0" w:color="auto"/>
      </w:divBdr>
    </w:div>
    <w:div w:id="268440667">
      <w:bodyDiv w:val="1"/>
      <w:marLeft w:val="0"/>
      <w:marRight w:val="0"/>
      <w:marTop w:val="0"/>
      <w:marBottom w:val="0"/>
      <w:divBdr>
        <w:top w:val="none" w:sz="0" w:space="0" w:color="auto"/>
        <w:left w:val="none" w:sz="0" w:space="0" w:color="auto"/>
        <w:bottom w:val="none" w:sz="0" w:space="0" w:color="auto"/>
        <w:right w:val="none" w:sz="0" w:space="0" w:color="auto"/>
      </w:divBdr>
    </w:div>
    <w:div w:id="281569690">
      <w:bodyDiv w:val="1"/>
      <w:marLeft w:val="0"/>
      <w:marRight w:val="0"/>
      <w:marTop w:val="0"/>
      <w:marBottom w:val="0"/>
      <w:divBdr>
        <w:top w:val="none" w:sz="0" w:space="0" w:color="auto"/>
        <w:left w:val="none" w:sz="0" w:space="0" w:color="auto"/>
        <w:bottom w:val="none" w:sz="0" w:space="0" w:color="auto"/>
        <w:right w:val="none" w:sz="0" w:space="0" w:color="auto"/>
      </w:divBdr>
    </w:div>
    <w:div w:id="322517139">
      <w:bodyDiv w:val="1"/>
      <w:marLeft w:val="0"/>
      <w:marRight w:val="0"/>
      <w:marTop w:val="0"/>
      <w:marBottom w:val="0"/>
      <w:divBdr>
        <w:top w:val="none" w:sz="0" w:space="0" w:color="auto"/>
        <w:left w:val="none" w:sz="0" w:space="0" w:color="auto"/>
        <w:bottom w:val="none" w:sz="0" w:space="0" w:color="auto"/>
        <w:right w:val="none" w:sz="0" w:space="0" w:color="auto"/>
      </w:divBdr>
    </w:div>
    <w:div w:id="437025496">
      <w:bodyDiv w:val="1"/>
      <w:marLeft w:val="0"/>
      <w:marRight w:val="0"/>
      <w:marTop w:val="0"/>
      <w:marBottom w:val="0"/>
      <w:divBdr>
        <w:top w:val="none" w:sz="0" w:space="0" w:color="auto"/>
        <w:left w:val="none" w:sz="0" w:space="0" w:color="auto"/>
        <w:bottom w:val="none" w:sz="0" w:space="0" w:color="auto"/>
        <w:right w:val="none" w:sz="0" w:space="0" w:color="auto"/>
      </w:divBdr>
    </w:div>
    <w:div w:id="481116866">
      <w:bodyDiv w:val="1"/>
      <w:marLeft w:val="0"/>
      <w:marRight w:val="0"/>
      <w:marTop w:val="0"/>
      <w:marBottom w:val="0"/>
      <w:divBdr>
        <w:top w:val="none" w:sz="0" w:space="0" w:color="auto"/>
        <w:left w:val="none" w:sz="0" w:space="0" w:color="auto"/>
        <w:bottom w:val="none" w:sz="0" w:space="0" w:color="auto"/>
        <w:right w:val="none" w:sz="0" w:space="0" w:color="auto"/>
      </w:divBdr>
    </w:div>
    <w:div w:id="526139895">
      <w:bodyDiv w:val="1"/>
      <w:marLeft w:val="0"/>
      <w:marRight w:val="0"/>
      <w:marTop w:val="0"/>
      <w:marBottom w:val="0"/>
      <w:divBdr>
        <w:top w:val="none" w:sz="0" w:space="0" w:color="auto"/>
        <w:left w:val="none" w:sz="0" w:space="0" w:color="auto"/>
        <w:bottom w:val="none" w:sz="0" w:space="0" w:color="auto"/>
        <w:right w:val="none" w:sz="0" w:space="0" w:color="auto"/>
      </w:divBdr>
    </w:div>
    <w:div w:id="548301528">
      <w:bodyDiv w:val="1"/>
      <w:marLeft w:val="0"/>
      <w:marRight w:val="0"/>
      <w:marTop w:val="0"/>
      <w:marBottom w:val="0"/>
      <w:divBdr>
        <w:top w:val="none" w:sz="0" w:space="0" w:color="auto"/>
        <w:left w:val="none" w:sz="0" w:space="0" w:color="auto"/>
        <w:bottom w:val="none" w:sz="0" w:space="0" w:color="auto"/>
        <w:right w:val="none" w:sz="0" w:space="0" w:color="auto"/>
      </w:divBdr>
    </w:div>
    <w:div w:id="555094325">
      <w:bodyDiv w:val="1"/>
      <w:marLeft w:val="0"/>
      <w:marRight w:val="0"/>
      <w:marTop w:val="0"/>
      <w:marBottom w:val="0"/>
      <w:divBdr>
        <w:top w:val="none" w:sz="0" w:space="0" w:color="auto"/>
        <w:left w:val="none" w:sz="0" w:space="0" w:color="auto"/>
        <w:bottom w:val="none" w:sz="0" w:space="0" w:color="auto"/>
        <w:right w:val="none" w:sz="0" w:space="0" w:color="auto"/>
      </w:divBdr>
    </w:div>
    <w:div w:id="573012967">
      <w:bodyDiv w:val="1"/>
      <w:marLeft w:val="0"/>
      <w:marRight w:val="0"/>
      <w:marTop w:val="0"/>
      <w:marBottom w:val="0"/>
      <w:divBdr>
        <w:top w:val="none" w:sz="0" w:space="0" w:color="auto"/>
        <w:left w:val="none" w:sz="0" w:space="0" w:color="auto"/>
        <w:bottom w:val="none" w:sz="0" w:space="0" w:color="auto"/>
        <w:right w:val="none" w:sz="0" w:space="0" w:color="auto"/>
      </w:divBdr>
    </w:div>
    <w:div w:id="622225541">
      <w:bodyDiv w:val="1"/>
      <w:marLeft w:val="0"/>
      <w:marRight w:val="0"/>
      <w:marTop w:val="0"/>
      <w:marBottom w:val="0"/>
      <w:divBdr>
        <w:top w:val="none" w:sz="0" w:space="0" w:color="auto"/>
        <w:left w:val="none" w:sz="0" w:space="0" w:color="auto"/>
        <w:bottom w:val="none" w:sz="0" w:space="0" w:color="auto"/>
        <w:right w:val="none" w:sz="0" w:space="0" w:color="auto"/>
      </w:divBdr>
    </w:div>
    <w:div w:id="633219443">
      <w:bodyDiv w:val="1"/>
      <w:marLeft w:val="0"/>
      <w:marRight w:val="0"/>
      <w:marTop w:val="0"/>
      <w:marBottom w:val="0"/>
      <w:divBdr>
        <w:top w:val="none" w:sz="0" w:space="0" w:color="auto"/>
        <w:left w:val="none" w:sz="0" w:space="0" w:color="auto"/>
        <w:bottom w:val="none" w:sz="0" w:space="0" w:color="auto"/>
        <w:right w:val="none" w:sz="0" w:space="0" w:color="auto"/>
      </w:divBdr>
    </w:div>
    <w:div w:id="683285043">
      <w:bodyDiv w:val="1"/>
      <w:marLeft w:val="0"/>
      <w:marRight w:val="0"/>
      <w:marTop w:val="0"/>
      <w:marBottom w:val="0"/>
      <w:divBdr>
        <w:top w:val="none" w:sz="0" w:space="0" w:color="auto"/>
        <w:left w:val="none" w:sz="0" w:space="0" w:color="auto"/>
        <w:bottom w:val="none" w:sz="0" w:space="0" w:color="auto"/>
        <w:right w:val="none" w:sz="0" w:space="0" w:color="auto"/>
      </w:divBdr>
    </w:div>
    <w:div w:id="686754416">
      <w:bodyDiv w:val="1"/>
      <w:marLeft w:val="0"/>
      <w:marRight w:val="0"/>
      <w:marTop w:val="0"/>
      <w:marBottom w:val="0"/>
      <w:divBdr>
        <w:top w:val="none" w:sz="0" w:space="0" w:color="auto"/>
        <w:left w:val="none" w:sz="0" w:space="0" w:color="auto"/>
        <w:bottom w:val="none" w:sz="0" w:space="0" w:color="auto"/>
        <w:right w:val="none" w:sz="0" w:space="0" w:color="auto"/>
      </w:divBdr>
    </w:div>
    <w:div w:id="711880239">
      <w:bodyDiv w:val="1"/>
      <w:marLeft w:val="0"/>
      <w:marRight w:val="0"/>
      <w:marTop w:val="0"/>
      <w:marBottom w:val="0"/>
      <w:divBdr>
        <w:top w:val="none" w:sz="0" w:space="0" w:color="auto"/>
        <w:left w:val="none" w:sz="0" w:space="0" w:color="auto"/>
        <w:bottom w:val="none" w:sz="0" w:space="0" w:color="auto"/>
        <w:right w:val="none" w:sz="0" w:space="0" w:color="auto"/>
      </w:divBdr>
    </w:div>
    <w:div w:id="742678634">
      <w:bodyDiv w:val="1"/>
      <w:marLeft w:val="0"/>
      <w:marRight w:val="0"/>
      <w:marTop w:val="0"/>
      <w:marBottom w:val="0"/>
      <w:divBdr>
        <w:top w:val="none" w:sz="0" w:space="0" w:color="auto"/>
        <w:left w:val="none" w:sz="0" w:space="0" w:color="auto"/>
        <w:bottom w:val="none" w:sz="0" w:space="0" w:color="auto"/>
        <w:right w:val="none" w:sz="0" w:space="0" w:color="auto"/>
      </w:divBdr>
    </w:div>
    <w:div w:id="787509895">
      <w:bodyDiv w:val="1"/>
      <w:marLeft w:val="0"/>
      <w:marRight w:val="0"/>
      <w:marTop w:val="0"/>
      <w:marBottom w:val="0"/>
      <w:divBdr>
        <w:top w:val="none" w:sz="0" w:space="0" w:color="auto"/>
        <w:left w:val="none" w:sz="0" w:space="0" w:color="auto"/>
        <w:bottom w:val="none" w:sz="0" w:space="0" w:color="auto"/>
        <w:right w:val="none" w:sz="0" w:space="0" w:color="auto"/>
      </w:divBdr>
    </w:div>
    <w:div w:id="855582067">
      <w:bodyDiv w:val="1"/>
      <w:marLeft w:val="0"/>
      <w:marRight w:val="0"/>
      <w:marTop w:val="0"/>
      <w:marBottom w:val="0"/>
      <w:divBdr>
        <w:top w:val="none" w:sz="0" w:space="0" w:color="auto"/>
        <w:left w:val="none" w:sz="0" w:space="0" w:color="auto"/>
        <w:bottom w:val="none" w:sz="0" w:space="0" w:color="auto"/>
        <w:right w:val="none" w:sz="0" w:space="0" w:color="auto"/>
      </w:divBdr>
    </w:div>
    <w:div w:id="883248716">
      <w:bodyDiv w:val="1"/>
      <w:marLeft w:val="0"/>
      <w:marRight w:val="0"/>
      <w:marTop w:val="0"/>
      <w:marBottom w:val="0"/>
      <w:divBdr>
        <w:top w:val="none" w:sz="0" w:space="0" w:color="auto"/>
        <w:left w:val="none" w:sz="0" w:space="0" w:color="auto"/>
        <w:bottom w:val="none" w:sz="0" w:space="0" w:color="auto"/>
        <w:right w:val="none" w:sz="0" w:space="0" w:color="auto"/>
      </w:divBdr>
    </w:div>
    <w:div w:id="905803225">
      <w:bodyDiv w:val="1"/>
      <w:marLeft w:val="0"/>
      <w:marRight w:val="0"/>
      <w:marTop w:val="0"/>
      <w:marBottom w:val="0"/>
      <w:divBdr>
        <w:top w:val="none" w:sz="0" w:space="0" w:color="auto"/>
        <w:left w:val="none" w:sz="0" w:space="0" w:color="auto"/>
        <w:bottom w:val="none" w:sz="0" w:space="0" w:color="auto"/>
        <w:right w:val="none" w:sz="0" w:space="0" w:color="auto"/>
      </w:divBdr>
    </w:div>
    <w:div w:id="948005694">
      <w:bodyDiv w:val="1"/>
      <w:marLeft w:val="0"/>
      <w:marRight w:val="0"/>
      <w:marTop w:val="0"/>
      <w:marBottom w:val="0"/>
      <w:divBdr>
        <w:top w:val="none" w:sz="0" w:space="0" w:color="auto"/>
        <w:left w:val="none" w:sz="0" w:space="0" w:color="auto"/>
        <w:bottom w:val="none" w:sz="0" w:space="0" w:color="auto"/>
        <w:right w:val="none" w:sz="0" w:space="0" w:color="auto"/>
      </w:divBdr>
    </w:div>
    <w:div w:id="965618907">
      <w:bodyDiv w:val="1"/>
      <w:marLeft w:val="0"/>
      <w:marRight w:val="0"/>
      <w:marTop w:val="0"/>
      <w:marBottom w:val="0"/>
      <w:divBdr>
        <w:top w:val="none" w:sz="0" w:space="0" w:color="auto"/>
        <w:left w:val="none" w:sz="0" w:space="0" w:color="auto"/>
        <w:bottom w:val="none" w:sz="0" w:space="0" w:color="auto"/>
        <w:right w:val="none" w:sz="0" w:space="0" w:color="auto"/>
      </w:divBdr>
    </w:div>
    <w:div w:id="981619664">
      <w:bodyDiv w:val="1"/>
      <w:marLeft w:val="0"/>
      <w:marRight w:val="0"/>
      <w:marTop w:val="0"/>
      <w:marBottom w:val="0"/>
      <w:divBdr>
        <w:top w:val="none" w:sz="0" w:space="0" w:color="auto"/>
        <w:left w:val="none" w:sz="0" w:space="0" w:color="auto"/>
        <w:bottom w:val="none" w:sz="0" w:space="0" w:color="auto"/>
        <w:right w:val="none" w:sz="0" w:space="0" w:color="auto"/>
      </w:divBdr>
    </w:div>
    <w:div w:id="983001132">
      <w:bodyDiv w:val="1"/>
      <w:marLeft w:val="0"/>
      <w:marRight w:val="0"/>
      <w:marTop w:val="0"/>
      <w:marBottom w:val="0"/>
      <w:divBdr>
        <w:top w:val="none" w:sz="0" w:space="0" w:color="auto"/>
        <w:left w:val="none" w:sz="0" w:space="0" w:color="auto"/>
        <w:bottom w:val="none" w:sz="0" w:space="0" w:color="auto"/>
        <w:right w:val="none" w:sz="0" w:space="0" w:color="auto"/>
      </w:divBdr>
    </w:div>
    <w:div w:id="1056050409">
      <w:bodyDiv w:val="1"/>
      <w:marLeft w:val="0"/>
      <w:marRight w:val="0"/>
      <w:marTop w:val="0"/>
      <w:marBottom w:val="0"/>
      <w:divBdr>
        <w:top w:val="none" w:sz="0" w:space="0" w:color="auto"/>
        <w:left w:val="none" w:sz="0" w:space="0" w:color="auto"/>
        <w:bottom w:val="none" w:sz="0" w:space="0" w:color="auto"/>
        <w:right w:val="none" w:sz="0" w:space="0" w:color="auto"/>
      </w:divBdr>
    </w:div>
    <w:div w:id="1084569471">
      <w:bodyDiv w:val="1"/>
      <w:marLeft w:val="0"/>
      <w:marRight w:val="0"/>
      <w:marTop w:val="0"/>
      <w:marBottom w:val="0"/>
      <w:divBdr>
        <w:top w:val="none" w:sz="0" w:space="0" w:color="auto"/>
        <w:left w:val="none" w:sz="0" w:space="0" w:color="auto"/>
        <w:bottom w:val="none" w:sz="0" w:space="0" w:color="auto"/>
        <w:right w:val="none" w:sz="0" w:space="0" w:color="auto"/>
      </w:divBdr>
    </w:div>
    <w:div w:id="1123960010">
      <w:bodyDiv w:val="1"/>
      <w:marLeft w:val="0"/>
      <w:marRight w:val="0"/>
      <w:marTop w:val="0"/>
      <w:marBottom w:val="0"/>
      <w:divBdr>
        <w:top w:val="none" w:sz="0" w:space="0" w:color="auto"/>
        <w:left w:val="none" w:sz="0" w:space="0" w:color="auto"/>
        <w:bottom w:val="none" w:sz="0" w:space="0" w:color="auto"/>
        <w:right w:val="none" w:sz="0" w:space="0" w:color="auto"/>
      </w:divBdr>
    </w:div>
    <w:div w:id="1161040592">
      <w:bodyDiv w:val="1"/>
      <w:marLeft w:val="0"/>
      <w:marRight w:val="0"/>
      <w:marTop w:val="0"/>
      <w:marBottom w:val="0"/>
      <w:divBdr>
        <w:top w:val="none" w:sz="0" w:space="0" w:color="auto"/>
        <w:left w:val="none" w:sz="0" w:space="0" w:color="auto"/>
        <w:bottom w:val="none" w:sz="0" w:space="0" w:color="auto"/>
        <w:right w:val="none" w:sz="0" w:space="0" w:color="auto"/>
      </w:divBdr>
    </w:div>
    <w:div w:id="1281037644">
      <w:bodyDiv w:val="1"/>
      <w:marLeft w:val="0"/>
      <w:marRight w:val="0"/>
      <w:marTop w:val="0"/>
      <w:marBottom w:val="0"/>
      <w:divBdr>
        <w:top w:val="none" w:sz="0" w:space="0" w:color="auto"/>
        <w:left w:val="none" w:sz="0" w:space="0" w:color="auto"/>
        <w:bottom w:val="none" w:sz="0" w:space="0" w:color="auto"/>
        <w:right w:val="none" w:sz="0" w:space="0" w:color="auto"/>
      </w:divBdr>
    </w:div>
    <w:div w:id="1305114816">
      <w:bodyDiv w:val="1"/>
      <w:marLeft w:val="0"/>
      <w:marRight w:val="0"/>
      <w:marTop w:val="0"/>
      <w:marBottom w:val="0"/>
      <w:divBdr>
        <w:top w:val="none" w:sz="0" w:space="0" w:color="auto"/>
        <w:left w:val="none" w:sz="0" w:space="0" w:color="auto"/>
        <w:bottom w:val="none" w:sz="0" w:space="0" w:color="auto"/>
        <w:right w:val="none" w:sz="0" w:space="0" w:color="auto"/>
      </w:divBdr>
    </w:div>
    <w:div w:id="1338650563">
      <w:bodyDiv w:val="1"/>
      <w:marLeft w:val="0"/>
      <w:marRight w:val="0"/>
      <w:marTop w:val="0"/>
      <w:marBottom w:val="0"/>
      <w:divBdr>
        <w:top w:val="none" w:sz="0" w:space="0" w:color="auto"/>
        <w:left w:val="none" w:sz="0" w:space="0" w:color="auto"/>
        <w:bottom w:val="none" w:sz="0" w:space="0" w:color="auto"/>
        <w:right w:val="none" w:sz="0" w:space="0" w:color="auto"/>
      </w:divBdr>
    </w:div>
    <w:div w:id="1368487882">
      <w:bodyDiv w:val="1"/>
      <w:marLeft w:val="0"/>
      <w:marRight w:val="0"/>
      <w:marTop w:val="0"/>
      <w:marBottom w:val="0"/>
      <w:divBdr>
        <w:top w:val="none" w:sz="0" w:space="0" w:color="auto"/>
        <w:left w:val="none" w:sz="0" w:space="0" w:color="auto"/>
        <w:bottom w:val="none" w:sz="0" w:space="0" w:color="auto"/>
        <w:right w:val="none" w:sz="0" w:space="0" w:color="auto"/>
      </w:divBdr>
    </w:div>
    <w:div w:id="1382482227">
      <w:bodyDiv w:val="1"/>
      <w:marLeft w:val="0"/>
      <w:marRight w:val="0"/>
      <w:marTop w:val="0"/>
      <w:marBottom w:val="0"/>
      <w:divBdr>
        <w:top w:val="none" w:sz="0" w:space="0" w:color="auto"/>
        <w:left w:val="none" w:sz="0" w:space="0" w:color="auto"/>
        <w:bottom w:val="none" w:sz="0" w:space="0" w:color="auto"/>
        <w:right w:val="none" w:sz="0" w:space="0" w:color="auto"/>
      </w:divBdr>
    </w:div>
    <w:div w:id="1391031997">
      <w:bodyDiv w:val="1"/>
      <w:marLeft w:val="0"/>
      <w:marRight w:val="0"/>
      <w:marTop w:val="0"/>
      <w:marBottom w:val="0"/>
      <w:divBdr>
        <w:top w:val="none" w:sz="0" w:space="0" w:color="auto"/>
        <w:left w:val="none" w:sz="0" w:space="0" w:color="auto"/>
        <w:bottom w:val="none" w:sz="0" w:space="0" w:color="auto"/>
        <w:right w:val="none" w:sz="0" w:space="0" w:color="auto"/>
      </w:divBdr>
    </w:div>
    <w:div w:id="1448812354">
      <w:bodyDiv w:val="1"/>
      <w:marLeft w:val="0"/>
      <w:marRight w:val="0"/>
      <w:marTop w:val="0"/>
      <w:marBottom w:val="0"/>
      <w:divBdr>
        <w:top w:val="none" w:sz="0" w:space="0" w:color="auto"/>
        <w:left w:val="none" w:sz="0" w:space="0" w:color="auto"/>
        <w:bottom w:val="none" w:sz="0" w:space="0" w:color="auto"/>
        <w:right w:val="none" w:sz="0" w:space="0" w:color="auto"/>
      </w:divBdr>
    </w:div>
    <w:div w:id="1547327630">
      <w:bodyDiv w:val="1"/>
      <w:marLeft w:val="0"/>
      <w:marRight w:val="0"/>
      <w:marTop w:val="0"/>
      <w:marBottom w:val="0"/>
      <w:divBdr>
        <w:top w:val="none" w:sz="0" w:space="0" w:color="auto"/>
        <w:left w:val="none" w:sz="0" w:space="0" w:color="auto"/>
        <w:bottom w:val="none" w:sz="0" w:space="0" w:color="auto"/>
        <w:right w:val="none" w:sz="0" w:space="0" w:color="auto"/>
      </w:divBdr>
    </w:div>
    <w:div w:id="1577743380">
      <w:bodyDiv w:val="1"/>
      <w:marLeft w:val="0"/>
      <w:marRight w:val="0"/>
      <w:marTop w:val="0"/>
      <w:marBottom w:val="0"/>
      <w:divBdr>
        <w:top w:val="none" w:sz="0" w:space="0" w:color="auto"/>
        <w:left w:val="none" w:sz="0" w:space="0" w:color="auto"/>
        <w:bottom w:val="none" w:sz="0" w:space="0" w:color="auto"/>
        <w:right w:val="none" w:sz="0" w:space="0" w:color="auto"/>
      </w:divBdr>
    </w:div>
    <w:div w:id="1633974794">
      <w:bodyDiv w:val="1"/>
      <w:marLeft w:val="0"/>
      <w:marRight w:val="0"/>
      <w:marTop w:val="0"/>
      <w:marBottom w:val="0"/>
      <w:divBdr>
        <w:top w:val="none" w:sz="0" w:space="0" w:color="auto"/>
        <w:left w:val="none" w:sz="0" w:space="0" w:color="auto"/>
        <w:bottom w:val="none" w:sz="0" w:space="0" w:color="auto"/>
        <w:right w:val="none" w:sz="0" w:space="0" w:color="auto"/>
      </w:divBdr>
    </w:div>
    <w:div w:id="1641694598">
      <w:bodyDiv w:val="1"/>
      <w:marLeft w:val="0"/>
      <w:marRight w:val="0"/>
      <w:marTop w:val="0"/>
      <w:marBottom w:val="0"/>
      <w:divBdr>
        <w:top w:val="none" w:sz="0" w:space="0" w:color="auto"/>
        <w:left w:val="none" w:sz="0" w:space="0" w:color="auto"/>
        <w:bottom w:val="none" w:sz="0" w:space="0" w:color="auto"/>
        <w:right w:val="none" w:sz="0" w:space="0" w:color="auto"/>
      </w:divBdr>
    </w:div>
    <w:div w:id="1703242283">
      <w:bodyDiv w:val="1"/>
      <w:marLeft w:val="0"/>
      <w:marRight w:val="0"/>
      <w:marTop w:val="0"/>
      <w:marBottom w:val="0"/>
      <w:divBdr>
        <w:top w:val="none" w:sz="0" w:space="0" w:color="auto"/>
        <w:left w:val="none" w:sz="0" w:space="0" w:color="auto"/>
        <w:bottom w:val="none" w:sz="0" w:space="0" w:color="auto"/>
        <w:right w:val="none" w:sz="0" w:space="0" w:color="auto"/>
      </w:divBdr>
    </w:div>
    <w:div w:id="1809743300">
      <w:bodyDiv w:val="1"/>
      <w:marLeft w:val="0"/>
      <w:marRight w:val="0"/>
      <w:marTop w:val="0"/>
      <w:marBottom w:val="0"/>
      <w:divBdr>
        <w:top w:val="none" w:sz="0" w:space="0" w:color="auto"/>
        <w:left w:val="none" w:sz="0" w:space="0" w:color="auto"/>
        <w:bottom w:val="none" w:sz="0" w:space="0" w:color="auto"/>
        <w:right w:val="none" w:sz="0" w:space="0" w:color="auto"/>
      </w:divBdr>
    </w:div>
    <w:div w:id="1832260118">
      <w:bodyDiv w:val="1"/>
      <w:marLeft w:val="0"/>
      <w:marRight w:val="0"/>
      <w:marTop w:val="0"/>
      <w:marBottom w:val="0"/>
      <w:divBdr>
        <w:top w:val="none" w:sz="0" w:space="0" w:color="auto"/>
        <w:left w:val="none" w:sz="0" w:space="0" w:color="auto"/>
        <w:bottom w:val="none" w:sz="0" w:space="0" w:color="auto"/>
        <w:right w:val="none" w:sz="0" w:space="0" w:color="auto"/>
      </w:divBdr>
    </w:div>
    <w:div w:id="1843742577">
      <w:bodyDiv w:val="1"/>
      <w:marLeft w:val="0"/>
      <w:marRight w:val="0"/>
      <w:marTop w:val="0"/>
      <w:marBottom w:val="0"/>
      <w:divBdr>
        <w:top w:val="none" w:sz="0" w:space="0" w:color="auto"/>
        <w:left w:val="none" w:sz="0" w:space="0" w:color="auto"/>
        <w:bottom w:val="none" w:sz="0" w:space="0" w:color="auto"/>
        <w:right w:val="none" w:sz="0" w:space="0" w:color="auto"/>
      </w:divBdr>
    </w:div>
    <w:div w:id="1874923615">
      <w:bodyDiv w:val="1"/>
      <w:marLeft w:val="0"/>
      <w:marRight w:val="0"/>
      <w:marTop w:val="0"/>
      <w:marBottom w:val="0"/>
      <w:divBdr>
        <w:top w:val="none" w:sz="0" w:space="0" w:color="auto"/>
        <w:left w:val="none" w:sz="0" w:space="0" w:color="auto"/>
        <w:bottom w:val="none" w:sz="0" w:space="0" w:color="auto"/>
        <w:right w:val="none" w:sz="0" w:space="0" w:color="auto"/>
      </w:divBdr>
    </w:div>
    <w:div w:id="1893076208">
      <w:bodyDiv w:val="1"/>
      <w:marLeft w:val="0"/>
      <w:marRight w:val="0"/>
      <w:marTop w:val="0"/>
      <w:marBottom w:val="0"/>
      <w:divBdr>
        <w:top w:val="none" w:sz="0" w:space="0" w:color="auto"/>
        <w:left w:val="none" w:sz="0" w:space="0" w:color="auto"/>
        <w:bottom w:val="none" w:sz="0" w:space="0" w:color="auto"/>
        <w:right w:val="none" w:sz="0" w:space="0" w:color="auto"/>
      </w:divBdr>
    </w:div>
    <w:div w:id="1920670514">
      <w:bodyDiv w:val="1"/>
      <w:marLeft w:val="0"/>
      <w:marRight w:val="0"/>
      <w:marTop w:val="0"/>
      <w:marBottom w:val="0"/>
      <w:divBdr>
        <w:top w:val="none" w:sz="0" w:space="0" w:color="auto"/>
        <w:left w:val="none" w:sz="0" w:space="0" w:color="auto"/>
        <w:bottom w:val="none" w:sz="0" w:space="0" w:color="auto"/>
        <w:right w:val="none" w:sz="0" w:space="0" w:color="auto"/>
      </w:divBdr>
    </w:div>
    <w:div w:id="205685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ra.go.cr/sites/default/files/Instructivo%20para%20la%20elaboracion%20de%20tipos%20documental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deplan.go.cr/diseno-organizacion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dalyc.org/pdf/427/42710806.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ctiweb.es/itsam/archivo8.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guiasjuridicas.wolterskluwer.es/Content/Documento.aspx?params=H4sIAAAAAAAEAMtMSbF1jTAAA0tTUzO1stSi4sz8PFsjAwNzQ0NDY5BAZlqlS35ySGVBqm1aYk5xKgAEXUHoNQAAAA==WK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D8E69-ECAB-43C9-AA4F-6F91FA5CE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1913</TotalTime>
  <Pages>32</Pages>
  <Words>11076</Words>
  <Characters>60922</Characters>
  <Application>Microsoft Office Word</Application>
  <DocSecurity>0</DocSecurity>
  <Lines>507</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Karlissa Calderón</dc:creator>
  <cp:keywords/>
  <dc:description/>
  <cp:lastModifiedBy>Karlissa</cp:lastModifiedBy>
  <cp:revision>170</cp:revision>
  <cp:lastPrinted>2020-07-11T03:50:00Z</cp:lastPrinted>
  <dcterms:created xsi:type="dcterms:W3CDTF">2020-05-02T22:10:00Z</dcterms:created>
  <dcterms:modified xsi:type="dcterms:W3CDTF">2021-11-01T05:29:00Z</dcterms:modified>
</cp:coreProperties>
</file>